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0598" w:type="dxa"/>
        <w:jc w:val="center"/>
        <w:tblLayout w:type="fixed"/>
        <w:tblLook w:val="04A0" w:firstRow="1" w:lastRow="0" w:firstColumn="1" w:lastColumn="0" w:noHBand="0" w:noVBand="1"/>
      </w:tblPr>
      <w:tblGrid>
        <w:gridCol w:w="1668"/>
        <w:gridCol w:w="3577"/>
        <w:gridCol w:w="54"/>
        <w:gridCol w:w="2039"/>
        <w:gridCol w:w="1984"/>
        <w:gridCol w:w="1276"/>
      </w:tblGrid>
      <w:tr w:rsidR="00931100" w:rsidRPr="00931100" w14:paraId="42A6FD36" w14:textId="77777777" w:rsidTr="005569CD">
        <w:trPr>
          <w:jc w:val="center"/>
        </w:trPr>
        <w:tc>
          <w:tcPr>
            <w:tcW w:w="9322" w:type="dxa"/>
            <w:gridSpan w:val="5"/>
            <w:tcBorders>
              <w:top w:val="nil"/>
              <w:left w:val="nil"/>
              <w:bottom w:val="single" w:sz="4" w:space="0" w:color="auto"/>
              <w:right w:val="nil"/>
            </w:tcBorders>
            <w:vAlign w:val="center"/>
          </w:tcPr>
          <w:p w14:paraId="79F9662B" w14:textId="77777777" w:rsidR="00931100" w:rsidRPr="00931100" w:rsidRDefault="00931100" w:rsidP="00931100">
            <w:pPr>
              <w:spacing w:before="120" w:after="0" w:line="240" w:lineRule="auto"/>
              <w:jc w:val="center"/>
              <w:rPr>
                <w:rFonts w:eastAsia="Calibri" w:cs="Arial"/>
                <w:b/>
                <w:sz w:val="36"/>
                <w:szCs w:val="36"/>
              </w:rPr>
            </w:pPr>
            <w:r w:rsidRPr="00931100">
              <w:rPr>
                <w:rFonts w:eastAsia="Calibri" w:cs="Arial"/>
                <w:b/>
                <w:sz w:val="36"/>
                <w:szCs w:val="36"/>
              </w:rPr>
              <w:t>Canterbury Institute of Management (CIM)</w:t>
            </w:r>
          </w:p>
          <w:p w14:paraId="6FD17029" w14:textId="77777777" w:rsidR="00931100" w:rsidRPr="00931100" w:rsidRDefault="00931100" w:rsidP="00931100">
            <w:pPr>
              <w:spacing w:before="120" w:after="0" w:line="240" w:lineRule="auto"/>
              <w:jc w:val="center"/>
              <w:rPr>
                <w:rFonts w:eastAsia="Calibri" w:cs="Arial"/>
                <w:b/>
                <w:sz w:val="28"/>
                <w:szCs w:val="28"/>
              </w:rPr>
            </w:pPr>
            <w:r w:rsidRPr="00931100">
              <w:rPr>
                <w:rFonts w:eastAsia="Calibri" w:cs="Arial"/>
                <w:b/>
                <w:sz w:val="28"/>
                <w:szCs w:val="28"/>
              </w:rPr>
              <w:t>ASSESSMENT COVER SHEET</w:t>
            </w:r>
          </w:p>
        </w:tc>
        <w:tc>
          <w:tcPr>
            <w:tcW w:w="1276" w:type="dxa"/>
            <w:tcBorders>
              <w:top w:val="nil"/>
              <w:left w:val="nil"/>
              <w:bottom w:val="single" w:sz="4" w:space="0" w:color="auto"/>
              <w:right w:val="nil"/>
            </w:tcBorders>
            <w:vAlign w:val="center"/>
          </w:tcPr>
          <w:p w14:paraId="50C8CE81" w14:textId="77777777" w:rsidR="00931100" w:rsidRPr="00931100" w:rsidRDefault="00931100" w:rsidP="00931100">
            <w:pPr>
              <w:spacing w:before="120" w:after="0" w:line="240" w:lineRule="auto"/>
              <w:jc w:val="left"/>
              <w:rPr>
                <w:rFonts w:eastAsia="Calibri" w:cs="Arial"/>
                <w:sz w:val="20"/>
                <w:szCs w:val="20"/>
              </w:rPr>
            </w:pPr>
            <w:r w:rsidRPr="00931100">
              <w:rPr>
                <w:rFonts w:eastAsia="Calibri" w:cs="Arial"/>
                <w:noProof/>
                <w:sz w:val="20"/>
                <w:szCs w:val="20"/>
                <w:lang w:eastAsia="ko-KR"/>
              </w:rPr>
              <w:drawing>
                <wp:inline distT="0" distB="0" distL="0" distR="0" wp14:anchorId="4C9CDF41" wp14:editId="392D9608">
                  <wp:extent cx="655320" cy="625475"/>
                  <wp:effectExtent l="0" t="0" r="0" b="3175"/>
                  <wp:docPr id="194465366" name="Picture 194465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00720" cy="668521"/>
                          </a:xfrm>
                          <a:prstGeom prst="rect">
                            <a:avLst/>
                          </a:prstGeom>
                          <a:noFill/>
                          <a:ln>
                            <a:noFill/>
                          </a:ln>
                        </pic:spPr>
                      </pic:pic>
                    </a:graphicData>
                  </a:graphic>
                </wp:inline>
              </w:drawing>
            </w:r>
          </w:p>
        </w:tc>
      </w:tr>
      <w:tr w:rsidR="00931100" w:rsidRPr="00931100" w14:paraId="6C3AC522" w14:textId="77777777" w:rsidTr="005569CD">
        <w:trPr>
          <w:jc w:val="center"/>
        </w:trPr>
        <w:tc>
          <w:tcPr>
            <w:tcW w:w="10598" w:type="dxa"/>
            <w:gridSpan w:val="6"/>
            <w:tcBorders>
              <w:top w:val="single" w:sz="4" w:space="0" w:color="auto"/>
            </w:tcBorders>
            <w:shd w:val="clear" w:color="auto" w:fill="D9E2F3"/>
          </w:tcPr>
          <w:p w14:paraId="1B4CCBFF" w14:textId="77777777" w:rsidR="00931100" w:rsidRPr="00931100" w:rsidRDefault="00931100" w:rsidP="00931100">
            <w:pPr>
              <w:numPr>
                <w:ilvl w:val="0"/>
                <w:numId w:val="11"/>
              </w:numPr>
              <w:spacing w:before="120" w:after="0" w:line="240" w:lineRule="auto"/>
              <w:contextualSpacing/>
              <w:jc w:val="left"/>
              <w:rPr>
                <w:rFonts w:eastAsia="Calibri" w:cs="Arial"/>
                <w:sz w:val="20"/>
                <w:szCs w:val="20"/>
              </w:rPr>
            </w:pPr>
            <w:r w:rsidRPr="00931100">
              <w:rPr>
                <w:rFonts w:eastAsia="Calibri" w:cs="Arial"/>
                <w:b/>
                <w:sz w:val="20"/>
                <w:szCs w:val="20"/>
              </w:rPr>
              <w:t>Personal Details</w:t>
            </w:r>
          </w:p>
        </w:tc>
      </w:tr>
      <w:tr w:rsidR="00931100" w:rsidRPr="00931100" w14:paraId="37FD4F9A" w14:textId="77777777" w:rsidTr="005569CD">
        <w:trPr>
          <w:jc w:val="center"/>
        </w:trPr>
        <w:tc>
          <w:tcPr>
            <w:tcW w:w="1668" w:type="dxa"/>
          </w:tcPr>
          <w:p w14:paraId="25A99ED7" w14:textId="77777777" w:rsidR="00931100" w:rsidRPr="00931100" w:rsidRDefault="00931100" w:rsidP="00931100">
            <w:pPr>
              <w:spacing w:before="120" w:after="0" w:line="240" w:lineRule="auto"/>
              <w:rPr>
                <w:rFonts w:eastAsia="Calibri" w:cs="Arial"/>
                <w:b/>
                <w:bCs/>
                <w:sz w:val="20"/>
                <w:szCs w:val="20"/>
              </w:rPr>
            </w:pPr>
            <w:r w:rsidRPr="00931100">
              <w:rPr>
                <w:rFonts w:eastAsia="Calibri" w:cs="Arial"/>
                <w:b/>
                <w:bCs/>
                <w:sz w:val="20"/>
                <w:szCs w:val="20"/>
              </w:rPr>
              <w:t>Student ID</w:t>
            </w:r>
          </w:p>
        </w:tc>
        <w:tc>
          <w:tcPr>
            <w:tcW w:w="3631" w:type="dxa"/>
            <w:gridSpan w:val="2"/>
          </w:tcPr>
          <w:p w14:paraId="773F70C0" w14:textId="77777777" w:rsidR="00931100" w:rsidRPr="00931100" w:rsidRDefault="00931100" w:rsidP="00931100">
            <w:pPr>
              <w:spacing w:before="120" w:after="0" w:line="240" w:lineRule="auto"/>
              <w:rPr>
                <w:rFonts w:eastAsia="Calibri" w:cs="Arial"/>
                <w:b/>
                <w:bCs/>
                <w:sz w:val="20"/>
                <w:szCs w:val="20"/>
              </w:rPr>
            </w:pPr>
            <w:r w:rsidRPr="00931100">
              <w:rPr>
                <w:rFonts w:eastAsia="Calibri" w:cs="Calibri"/>
                <w:b/>
                <w:bCs/>
                <w:sz w:val="20"/>
                <w:szCs w:val="20"/>
              </w:rPr>
              <w:t>Given Name(s)</w:t>
            </w:r>
          </w:p>
        </w:tc>
        <w:tc>
          <w:tcPr>
            <w:tcW w:w="2039" w:type="dxa"/>
          </w:tcPr>
          <w:p w14:paraId="57D55D00" w14:textId="77777777" w:rsidR="00931100" w:rsidRPr="00931100" w:rsidRDefault="00931100" w:rsidP="00931100">
            <w:pPr>
              <w:spacing w:before="120" w:after="0" w:line="240" w:lineRule="auto"/>
              <w:rPr>
                <w:rFonts w:eastAsia="Calibri" w:cs="Arial"/>
                <w:b/>
                <w:bCs/>
                <w:sz w:val="20"/>
                <w:szCs w:val="20"/>
              </w:rPr>
            </w:pPr>
            <w:r w:rsidRPr="00931100">
              <w:rPr>
                <w:rFonts w:eastAsia="Calibri" w:cs="Calibri"/>
                <w:b/>
                <w:bCs/>
                <w:sz w:val="20"/>
                <w:szCs w:val="20"/>
              </w:rPr>
              <w:t>Surname</w:t>
            </w:r>
          </w:p>
        </w:tc>
        <w:tc>
          <w:tcPr>
            <w:tcW w:w="3260" w:type="dxa"/>
            <w:gridSpan w:val="2"/>
          </w:tcPr>
          <w:p w14:paraId="2F5DAE87" w14:textId="77777777" w:rsidR="00931100" w:rsidRPr="00931100" w:rsidRDefault="00931100" w:rsidP="00931100">
            <w:pPr>
              <w:spacing w:before="120" w:after="0" w:line="240" w:lineRule="auto"/>
              <w:rPr>
                <w:rFonts w:eastAsia="Calibri" w:cs="Arial"/>
                <w:b/>
                <w:bCs/>
                <w:sz w:val="20"/>
                <w:szCs w:val="20"/>
              </w:rPr>
            </w:pPr>
            <w:r w:rsidRPr="00931100">
              <w:rPr>
                <w:rFonts w:eastAsia="Calibri" w:cs="Arial"/>
                <w:b/>
                <w:bCs/>
                <w:sz w:val="20"/>
                <w:szCs w:val="20"/>
              </w:rPr>
              <w:t>Email Address</w:t>
            </w:r>
          </w:p>
        </w:tc>
      </w:tr>
      <w:tr w:rsidR="00931100" w:rsidRPr="00931100" w14:paraId="4E9EB77C" w14:textId="77777777" w:rsidTr="005569CD">
        <w:trPr>
          <w:jc w:val="center"/>
        </w:trPr>
        <w:tc>
          <w:tcPr>
            <w:tcW w:w="1668" w:type="dxa"/>
          </w:tcPr>
          <w:p w14:paraId="0BE3A9A1" w14:textId="77777777" w:rsidR="00931100" w:rsidRPr="00931100" w:rsidRDefault="00931100" w:rsidP="00931100">
            <w:pPr>
              <w:spacing w:before="120" w:after="0" w:line="240" w:lineRule="auto"/>
              <w:rPr>
                <w:rFonts w:eastAsia="Calibri" w:cs="Arial"/>
                <w:sz w:val="20"/>
                <w:szCs w:val="20"/>
              </w:rPr>
            </w:pPr>
            <w:r w:rsidRPr="00931100">
              <w:rPr>
                <w:rFonts w:eastAsia="Calibri"/>
                <w:sz w:val="20"/>
                <w:szCs w:val="20"/>
              </w:rPr>
              <w:t>1.</w:t>
            </w:r>
            <w:r w:rsidRPr="00931100">
              <w:rPr>
                <w:rFonts w:ascii="Calibri" w:eastAsia="Calibri" w:hAnsi="Calibri"/>
                <w:sz w:val="20"/>
                <w:szCs w:val="20"/>
              </w:rPr>
              <w:t xml:space="preserve"> </w:t>
            </w:r>
            <w:r w:rsidRPr="00931100">
              <w:rPr>
                <w:rFonts w:eastAsia="Calibri"/>
                <w:sz w:val="20"/>
                <w:szCs w:val="20"/>
              </w:rPr>
              <w:t>CIM11219</w:t>
            </w:r>
          </w:p>
        </w:tc>
        <w:tc>
          <w:tcPr>
            <w:tcW w:w="3631" w:type="dxa"/>
            <w:gridSpan w:val="2"/>
          </w:tcPr>
          <w:p w14:paraId="37EF416F" w14:textId="77777777" w:rsidR="00931100" w:rsidRPr="00931100" w:rsidRDefault="00931100" w:rsidP="00931100">
            <w:pPr>
              <w:spacing w:before="120" w:after="0" w:line="240" w:lineRule="auto"/>
              <w:rPr>
                <w:rFonts w:eastAsia="Calibri" w:cs="Arial"/>
                <w:sz w:val="20"/>
                <w:szCs w:val="20"/>
              </w:rPr>
            </w:pPr>
            <w:r w:rsidRPr="00931100">
              <w:rPr>
                <w:rFonts w:eastAsia="Calibri"/>
                <w:sz w:val="20"/>
                <w:szCs w:val="20"/>
              </w:rPr>
              <w:t xml:space="preserve">Bibek </w:t>
            </w:r>
          </w:p>
        </w:tc>
        <w:tc>
          <w:tcPr>
            <w:tcW w:w="2039" w:type="dxa"/>
          </w:tcPr>
          <w:p w14:paraId="70ADFEC9" w14:textId="77777777" w:rsidR="00931100" w:rsidRPr="00931100" w:rsidRDefault="00931100" w:rsidP="00931100">
            <w:pPr>
              <w:spacing w:before="120" w:after="0" w:line="240" w:lineRule="auto"/>
              <w:rPr>
                <w:rFonts w:eastAsia="Calibri" w:cs="Arial"/>
                <w:sz w:val="20"/>
                <w:szCs w:val="20"/>
              </w:rPr>
            </w:pPr>
            <w:r w:rsidRPr="00931100">
              <w:rPr>
                <w:rFonts w:eastAsia="Calibri"/>
                <w:sz w:val="20"/>
                <w:szCs w:val="20"/>
              </w:rPr>
              <w:t>Kumar Pakhrin</w:t>
            </w:r>
          </w:p>
        </w:tc>
        <w:tc>
          <w:tcPr>
            <w:tcW w:w="3260" w:type="dxa"/>
            <w:gridSpan w:val="2"/>
          </w:tcPr>
          <w:p w14:paraId="5E145F73" w14:textId="77777777" w:rsidR="00931100" w:rsidRPr="00931100" w:rsidRDefault="00931100" w:rsidP="00931100">
            <w:pPr>
              <w:spacing w:before="120" w:after="0" w:line="240" w:lineRule="auto"/>
              <w:rPr>
                <w:rFonts w:eastAsia="Calibri" w:cs="Arial"/>
                <w:sz w:val="20"/>
                <w:szCs w:val="20"/>
              </w:rPr>
            </w:pPr>
            <w:hyperlink r:id="rId9" w:history="1">
              <w:r w:rsidRPr="00931100">
                <w:rPr>
                  <w:rFonts w:eastAsia="Calibri"/>
                  <w:color w:val="0000FF" w:themeColor="hyperlink"/>
                  <w:sz w:val="20"/>
                  <w:szCs w:val="20"/>
                  <w:u w:val="single"/>
                </w:rPr>
                <w:t>tamangbibek192@gmail.com</w:t>
              </w:r>
            </w:hyperlink>
            <w:r w:rsidRPr="00931100">
              <w:rPr>
                <w:rFonts w:eastAsia="Calibri"/>
                <w:sz w:val="20"/>
                <w:szCs w:val="20"/>
              </w:rPr>
              <w:t xml:space="preserve"> </w:t>
            </w:r>
          </w:p>
        </w:tc>
      </w:tr>
      <w:tr w:rsidR="00931100" w:rsidRPr="00931100" w14:paraId="7C3AF4BA" w14:textId="77777777" w:rsidTr="005569CD">
        <w:trPr>
          <w:jc w:val="center"/>
        </w:trPr>
        <w:tc>
          <w:tcPr>
            <w:tcW w:w="1668" w:type="dxa"/>
          </w:tcPr>
          <w:p w14:paraId="39F201CA" w14:textId="0A094819" w:rsidR="00931100" w:rsidRPr="00931100" w:rsidRDefault="00931100" w:rsidP="00931100">
            <w:pPr>
              <w:spacing w:before="120" w:after="0" w:line="240" w:lineRule="auto"/>
              <w:rPr>
                <w:rFonts w:eastAsia="Calibri" w:cs="Arial"/>
                <w:sz w:val="20"/>
                <w:szCs w:val="20"/>
              </w:rPr>
            </w:pPr>
            <w:r w:rsidRPr="00931100">
              <w:rPr>
                <w:rFonts w:eastAsia="Calibri" w:cs="Arial"/>
                <w:sz w:val="20"/>
                <w:szCs w:val="20"/>
              </w:rPr>
              <w:t>2.</w:t>
            </w:r>
            <w:r w:rsidRPr="00931100">
              <w:rPr>
                <w:rFonts w:asciiTheme="minorHAnsi" w:eastAsiaTheme="minorEastAsia" w:hAnsi="Calibri" w:cstheme="minorBidi"/>
                <w:color w:val="000000" w:themeColor="text1"/>
                <w:kern w:val="24"/>
                <w:sz w:val="36"/>
                <w:szCs w:val="36"/>
                <w:lang w:val="en-US" w:eastAsia="en-US"/>
              </w:rPr>
              <w:t xml:space="preserve"> </w:t>
            </w:r>
            <w:r w:rsidRPr="00931100">
              <w:rPr>
                <w:rFonts w:eastAsia="Calibri" w:cs="Arial"/>
                <w:sz w:val="20"/>
                <w:szCs w:val="20"/>
                <w:lang w:val="en-US"/>
              </w:rPr>
              <w:t>CIM10941</w:t>
            </w:r>
          </w:p>
        </w:tc>
        <w:tc>
          <w:tcPr>
            <w:tcW w:w="3631" w:type="dxa"/>
            <w:gridSpan w:val="2"/>
          </w:tcPr>
          <w:p w14:paraId="143B71E2" w14:textId="484AB1CF" w:rsidR="00931100" w:rsidRPr="00931100" w:rsidRDefault="00931100" w:rsidP="00931100">
            <w:pPr>
              <w:spacing w:before="120" w:after="0" w:line="240" w:lineRule="auto"/>
              <w:rPr>
                <w:rFonts w:eastAsia="Calibri" w:cs="Arial"/>
                <w:sz w:val="20"/>
                <w:szCs w:val="20"/>
              </w:rPr>
            </w:pPr>
            <w:r w:rsidRPr="00931100">
              <w:rPr>
                <w:rFonts w:eastAsia="Calibri" w:cs="Arial"/>
                <w:sz w:val="20"/>
                <w:szCs w:val="20"/>
              </w:rPr>
              <w:t xml:space="preserve">Babita </w:t>
            </w:r>
          </w:p>
        </w:tc>
        <w:tc>
          <w:tcPr>
            <w:tcW w:w="2039" w:type="dxa"/>
          </w:tcPr>
          <w:p w14:paraId="478CBA3A" w14:textId="749426B7" w:rsidR="00931100" w:rsidRPr="00931100" w:rsidRDefault="00931100" w:rsidP="00931100">
            <w:pPr>
              <w:spacing w:before="120" w:after="0" w:line="240" w:lineRule="auto"/>
              <w:rPr>
                <w:rFonts w:eastAsia="Calibri" w:cs="Arial"/>
                <w:sz w:val="20"/>
                <w:szCs w:val="20"/>
              </w:rPr>
            </w:pPr>
            <w:r w:rsidRPr="00931100">
              <w:rPr>
                <w:rFonts w:eastAsia="Calibri" w:cs="Arial"/>
                <w:sz w:val="20"/>
                <w:szCs w:val="20"/>
              </w:rPr>
              <w:t>Maya Gurung</w:t>
            </w:r>
          </w:p>
        </w:tc>
        <w:tc>
          <w:tcPr>
            <w:tcW w:w="3260" w:type="dxa"/>
            <w:gridSpan w:val="2"/>
          </w:tcPr>
          <w:p w14:paraId="7CD115B6" w14:textId="77777777" w:rsidR="00931100" w:rsidRPr="00931100" w:rsidRDefault="00931100" w:rsidP="00931100">
            <w:pPr>
              <w:spacing w:before="120" w:after="0" w:line="240" w:lineRule="auto"/>
              <w:rPr>
                <w:rFonts w:eastAsia="Calibri" w:cs="Arial"/>
                <w:sz w:val="20"/>
                <w:szCs w:val="20"/>
              </w:rPr>
            </w:pPr>
          </w:p>
        </w:tc>
      </w:tr>
      <w:tr w:rsidR="00931100" w:rsidRPr="00931100" w14:paraId="4BD58527" w14:textId="77777777" w:rsidTr="005569CD">
        <w:trPr>
          <w:jc w:val="center"/>
        </w:trPr>
        <w:tc>
          <w:tcPr>
            <w:tcW w:w="1668" w:type="dxa"/>
          </w:tcPr>
          <w:p w14:paraId="7CCB8F75" w14:textId="049FFAFE" w:rsidR="00931100" w:rsidRPr="00931100" w:rsidRDefault="00931100" w:rsidP="00931100">
            <w:pPr>
              <w:tabs>
                <w:tab w:val="center" w:pos="726"/>
              </w:tabs>
              <w:spacing w:before="120" w:after="0" w:line="240" w:lineRule="auto"/>
              <w:rPr>
                <w:rFonts w:eastAsia="Calibri" w:cs="Arial"/>
                <w:sz w:val="20"/>
                <w:szCs w:val="20"/>
              </w:rPr>
            </w:pPr>
            <w:r w:rsidRPr="00931100">
              <w:rPr>
                <w:rFonts w:eastAsia="Calibri" w:cs="Arial"/>
                <w:sz w:val="20"/>
                <w:szCs w:val="20"/>
              </w:rPr>
              <w:t>3.</w:t>
            </w:r>
            <w:r>
              <w:rPr>
                <w:rFonts w:eastAsia="Calibri" w:cs="Arial"/>
                <w:sz w:val="20"/>
                <w:szCs w:val="20"/>
              </w:rPr>
              <w:tab/>
            </w:r>
            <w:r w:rsidRPr="00931100">
              <w:rPr>
                <w:rFonts w:eastAsia="Calibri" w:cs="Arial"/>
                <w:sz w:val="20"/>
                <w:szCs w:val="20"/>
                <w:lang w:val="en-US"/>
              </w:rPr>
              <w:t>CIM11729</w:t>
            </w:r>
          </w:p>
        </w:tc>
        <w:tc>
          <w:tcPr>
            <w:tcW w:w="3631" w:type="dxa"/>
            <w:gridSpan w:val="2"/>
          </w:tcPr>
          <w:p w14:paraId="284B8081" w14:textId="4B31B769" w:rsidR="00931100" w:rsidRPr="00931100" w:rsidRDefault="00931100" w:rsidP="00931100">
            <w:pPr>
              <w:spacing w:before="120" w:after="0" w:line="240" w:lineRule="auto"/>
              <w:rPr>
                <w:rFonts w:eastAsia="Calibri" w:cs="Arial"/>
                <w:sz w:val="20"/>
                <w:szCs w:val="20"/>
              </w:rPr>
            </w:pPr>
            <w:r w:rsidRPr="00931100">
              <w:rPr>
                <w:rFonts w:eastAsia="Calibri" w:cs="Arial"/>
                <w:sz w:val="20"/>
                <w:szCs w:val="20"/>
              </w:rPr>
              <w:t xml:space="preserve">Ishara </w:t>
            </w:r>
          </w:p>
        </w:tc>
        <w:tc>
          <w:tcPr>
            <w:tcW w:w="2039" w:type="dxa"/>
          </w:tcPr>
          <w:p w14:paraId="738D9839" w14:textId="4D5618EE" w:rsidR="00931100" w:rsidRPr="00931100" w:rsidRDefault="00931100" w:rsidP="00931100">
            <w:pPr>
              <w:spacing w:before="120" w:after="0" w:line="240" w:lineRule="auto"/>
              <w:rPr>
                <w:rFonts w:eastAsia="Calibri" w:cs="Arial"/>
                <w:sz w:val="20"/>
                <w:szCs w:val="20"/>
              </w:rPr>
            </w:pPr>
            <w:r w:rsidRPr="00931100">
              <w:rPr>
                <w:rFonts w:eastAsia="Calibri" w:cs="Arial"/>
                <w:sz w:val="20"/>
                <w:szCs w:val="20"/>
              </w:rPr>
              <w:t>Adhikari</w:t>
            </w:r>
          </w:p>
        </w:tc>
        <w:tc>
          <w:tcPr>
            <w:tcW w:w="3260" w:type="dxa"/>
            <w:gridSpan w:val="2"/>
          </w:tcPr>
          <w:p w14:paraId="1A15A7DD" w14:textId="77777777" w:rsidR="00931100" w:rsidRPr="00931100" w:rsidRDefault="00931100" w:rsidP="00931100">
            <w:pPr>
              <w:spacing w:before="120" w:after="0" w:line="240" w:lineRule="auto"/>
              <w:rPr>
                <w:rFonts w:eastAsia="Calibri" w:cs="Arial"/>
                <w:sz w:val="20"/>
                <w:szCs w:val="20"/>
              </w:rPr>
            </w:pPr>
          </w:p>
        </w:tc>
      </w:tr>
      <w:tr w:rsidR="00931100" w:rsidRPr="00931100" w14:paraId="55E6EF0D" w14:textId="77777777" w:rsidTr="005569CD">
        <w:trPr>
          <w:jc w:val="center"/>
        </w:trPr>
        <w:tc>
          <w:tcPr>
            <w:tcW w:w="1668" w:type="dxa"/>
          </w:tcPr>
          <w:p w14:paraId="59620807" w14:textId="5E8416EE" w:rsidR="00931100" w:rsidRPr="00931100" w:rsidRDefault="00931100" w:rsidP="00931100">
            <w:pPr>
              <w:spacing w:before="120" w:after="0" w:line="240" w:lineRule="auto"/>
              <w:rPr>
                <w:rFonts w:eastAsia="Calibri" w:cs="Arial"/>
                <w:sz w:val="20"/>
                <w:szCs w:val="20"/>
              </w:rPr>
            </w:pPr>
            <w:r w:rsidRPr="00931100">
              <w:rPr>
                <w:rFonts w:eastAsia="Calibri" w:cs="Arial"/>
                <w:sz w:val="20"/>
                <w:szCs w:val="20"/>
              </w:rPr>
              <w:t>4.</w:t>
            </w:r>
            <w:r w:rsidRPr="00931100">
              <w:rPr>
                <w:rFonts w:asciiTheme="minorHAnsi" w:eastAsiaTheme="minorEastAsia" w:hAnsi="Calibri" w:cstheme="minorBidi"/>
                <w:color w:val="000000" w:themeColor="text1"/>
                <w:kern w:val="24"/>
                <w:sz w:val="36"/>
                <w:szCs w:val="36"/>
                <w:lang w:val="en-US" w:eastAsia="en-US"/>
              </w:rPr>
              <w:t xml:space="preserve"> </w:t>
            </w:r>
            <w:r w:rsidRPr="00931100">
              <w:rPr>
                <w:rFonts w:eastAsia="Calibri" w:cs="Arial"/>
                <w:sz w:val="20"/>
                <w:szCs w:val="20"/>
                <w:lang w:val="en-US"/>
              </w:rPr>
              <w:t>CIM11031</w:t>
            </w:r>
          </w:p>
        </w:tc>
        <w:tc>
          <w:tcPr>
            <w:tcW w:w="3631" w:type="dxa"/>
            <w:gridSpan w:val="2"/>
          </w:tcPr>
          <w:p w14:paraId="20DACCBC" w14:textId="2C2A3565" w:rsidR="00931100" w:rsidRPr="00931100" w:rsidRDefault="00931100" w:rsidP="00931100">
            <w:pPr>
              <w:spacing w:before="120" w:after="0" w:line="240" w:lineRule="auto"/>
              <w:rPr>
                <w:rFonts w:eastAsia="Calibri" w:cs="Arial"/>
                <w:sz w:val="20"/>
                <w:szCs w:val="20"/>
              </w:rPr>
            </w:pPr>
            <w:r w:rsidRPr="00931100">
              <w:rPr>
                <w:rFonts w:eastAsia="Calibri" w:cs="Arial"/>
                <w:sz w:val="20"/>
                <w:szCs w:val="20"/>
                <w:lang w:val="en-US"/>
              </w:rPr>
              <w:t>Alisha</w:t>
            </w:r>
          </w:p>
        </w:tc>
        <w:tc>
          <w:tcPr>
            <w:tcW w:w="2039" w:type="dxa"/>
          </w:tcPr>
          <w:p w14:paraId="04ED1A1F" w14:textId="77777777" w:rsidR="00931100" w:rsidRPr="00931100" w:rsidRDefault="00931100" w:rsidP="00931100">
            <w:pPr>
              <w:spacing w:before="120" w:after="0" w:line="240" w:lineRule="auto"/>
              <w:rPr>
                <w:rFonts w:eastAsia="Calibri" w:cs="Arial"/>
                <w:sz w:val="20"/>
                <w:szCs w:val="20"/>
              </w:rPr>
            </w:pPr>
          </w:p>
        </w:tc>
        <w:tc>
          <w:tcPr>
            <w:tcW w:w="3260" w:type="dxa"/>
            <w:gridSpan w:val="2"/>
          </w:tcPr>
          <w:p w14:paraId="170FD83A" w14:textId="77777777" w:rsidR="00931100" w:rsidRPr="00931100" w:rsidRDefault="00931100" w:rsidP="00931100">
            <w:pPr>
              <w:spacing w:before="120" w:after="0" w:line="240" w:lineRule="auto"/>
              <w:rPr>
                <w:rFonts w:eastAsia="Calibri" w:cs="Arial"/>
                <w:sz w:val="20"/>
                <w:szCs w:val="20"/>
              </w:rPr>
            </w:pPr>
          </w:p>
        </w:tc>
      </w:tr>
      <w:tr w:rsidR="00931100" w:rsidRPr="00931100" w14:paraId="66024C6A" w14:textId="77777777" w:rsidTr="005569CD">
        <w:trPr>
          <w:jc w:val="center"/>
        </w:trPr>
        <w:tc>
          <w:tcPr>
            <w:tcW w:w="1668" w:type="dxa"/>
          </w:tcPr>
          <w:p w14:paraId="176DB897" w14:textId="77777777" w:rsidR="00931100" w:rsidRPr="00931100" w:rsidRDefault="00931100" w:rsidP="00931100">
            <w:pPr>
              <w:spacing w:before="120" w:after="0" w:line="240" w:lineRule="auto"/>
              <w:rPr>
                <w:rFonts w:eastAsia="Calibri" w:cs="Arial"/>
                <w:sz w:val="20"/>
                <w:szCs w:val="20"/>
              </w:rPr>
            </w:pPr>
            <w:r w:rsidRPr="00931100">
              <w:rPr>
                <w:rFonts w:eastAsia="Calibri" w:cs="Arial"/>
                <w:sz w:val="20"/>
                <w:szCs w:val="20"/>
              </w:rPr>
              <w:t>Campus</w:t>
            </w:r>
          </w:p>
        </w:tc>
        <w:tc>
          <w:tcPr>
            <w:tcW w:w="8930" w:type="dxa"/>
            <w:gridSpan w:val="5"/>
          </w:tcPr>
          <w:p w14:paraId="674F3DCA" w14:textId="77777777" w:rsidR="00931100" w:rsidRPr="00931100" w:rsidRDefault="00931100" w:rsidP="00931100">
            <w:pPr>
              <w:spacing w:before="120" w:after="0" w:line="240" w:lineRule="auto"/>
              <w:rPr>
                <w:rFonts w:eastAsia="Calibri" w:cs="Arial"/>
                <w:sz w:val="20"/>
                <w:szCs w:val="20"/>
              </w:rPr>
            </w:pPr>
            <w:r w:rsidRPr="00931100">
              <w:rPr>
                <w:rFonts w:eastAsia="Calibri"/>
                <w:sz w:val="20"/>
                <w:szCs w:val="20"/>
              </w:rPr>
              <w:t>Canterbury Institute of Management, Darlinghurst, Sydney</w:t>
            </w:r>
          </w:p>
        </w:tc>
      </w:tr>
      <w:tr w:rsidR="00931100" w:rsidRPr="00931100" w14:paraId="0851B813" w14:textId="77777777" w:rsidTr="005569CD">
        <w:trPr>
          <w:jc w:val="center"/>
        </w:trPr>
        <w:tc>
          <w:tcPr>
            <w:tcW w:w="1668" w:type="dxa"/>
          </w:tcPr>
          <w:p w14:paraId="013A7D24" w14:textId="77777777" w:rsidR="00931100" w:rsidRPr="00931100" w:rsidRDefault="00931100" w:rsidP="00931100">
            <w:pPr>
              <w:spacing w:before="120" w:after="0" w:line="240" w:lineRule="auto"/>
              <w:jc w:val="left"/>
              <w:rPr>
                <w:rFonts w:eastAsia="Calibri" w:cs="Arial"/>
                <w:sz w:val="20"/>
                <w:szCs w:val="20"/>
              </w:rPr>
            </w:pPr>
            <w:r w:rsidRPr="00931100">
              <w:rPr>
                <w:rFonts w:eastAsia="Calibri" w:cs="Arial"/>
                <w:sz w:val="20"/>
                <w:szCs w:val="20"/>
              </w:rPr>
              <w:t>Course Title and Code</w:t>
            </w:r>
          </w:p>
        </w:tc>
        <w:tc>
          <w:tcPr>
            <w:tcW w:w="8930" w:type="dxa"/>
            <w:gridSpan w:val="5"/>
          </w:tcPr>
          <w:p w14:paraId="3BDF8081" w14:textId="5EC34078" w:rsidR="00931100" w:rsidRPr="00931100" w:rsidRDefault="0050605C" w:rsidP="00931100">
            <w:pPr>
              <w:spacing w:before="120" w:after="0" w:line="240" w:lineRule="auto"/>
              <w:rPr>
                <w:rFonts w:eastAsia="Calibri" w:cs="Arial"/>
                <w:sz w:val="20"/>
                <w:szCs w:val="20"/>
              </w:rPr>
            </w:pPr>
            <w:r w:rsidRPr="0050605C">
              <w:rPr>
                <w:rFonts w:eastAsia="Calibri" w:cs="Arial"/>
                <w:sz w:val="20"/>
                <w:szCs w:val="20"/>
                <w:lang w:val="en-US"/>
              </w:rPr>
              <w:t>BUSE301Entrepreneurship and Innovation</w:t>
            </w:r>
          </w:p>
        </w:tc>
      </w:tr>
      <w:tr w:rsidR="00931100" w:rsidRPr="00931100" w14:paraId="42F6B7BC" w14:textId="77777777" w:rsidTr="005569CD">
        <w:trPr>
          <w:jc w:val="center"/>
        </w:trPr>
        <w:tc>
          <w:tcPr>
            <w:tcW w:w="1668" w:type="dxa"/>
          </w:tcPr>
          <w:p w14:paraId="420F5C5C" w14:textId="77777777" w:rsidR="00931100" w:rsidRPr="00931100" w:rsidRDefault="00931100" w:rsidP="00931100">
            <w:pPr>
              <w:spacing w:before="120" w:after="0" w:line="240" w:lineRule="auto"/>
              <w:jc w:val="left"/>
              <w:rPr>
                <w:rFonts w:eastAsia="Calibri" w:cs="Arial"/>
                <w:sz w:val="20"/>
                <w:szCs w:val="20"/>
              </w:rPr>
            </w:pPr>
            <w:r w:rsidRPr="00931100">
              <w:rPr>
                <w:rFonts w:eastAsia="Calibri" w:cs="Arial"/>
                <w:sz w:val="20"/>
                <w:szCs w:val="20"/>
              </w:rPr>
              <w:t>Assessment Title</w:t>
            </w:r>
          </w:p>
        </w:tc>
        <w:tc>
          <w:tcPr>
            <w:tcW w:w="8930" w:type="dxa"/>
            <w:gridSpan w:val="5"/>
          </w:tcPr>
          <w:p w14:paraId="62571CBF" w14:textId="3A830B4A" w:rsidR="00931100" w:rsidRPr="00931100" w:rsidRDefault="0050605C" w:rsidP="00931100">
            <w:pPr>
              <w:spacing w:before="120" w:after="0" w:line="240" w:lineRule="auto"/>
              <w:rPr>
                <w:rFonts w:eastAsia="Calibri" w:cs="Arial"/>
                <w:sz w:val="20"/>
                <w:szCs w:val="20"/>
              </w:rPr>
            </w:pPr>
            <w:r w:rsidRPr="0050605C">
              <w:rPr>
                <w:rFonts w:eastAsia="Calibri" w:cs="Arial"/>
                <w:sz w:val="20"/>
                <w:szCs w:val="20"/>
                <w:lang w:val="en-US"/>
              </w:rPr>
              <w:t>AT3 Group Written Report (40%)</w:t>
            </w:r>
          </w:p>
        </w:tc>
      </w:tr>
      <w:tr w:rsidR="00931100" w:rsidRPr="00931100" w14:paraId="6B8327D0" w14:textId="77777777" w:rsidTr="005569CD">
        <w:trPr>
          <w:jc w:val="center"/>
        </w:trPr>
        <w:tc>
          <w:tcPr>
            <w:tcW w:w="1668" w:type="dxa"/>
          </w:tcPr>
          <w:p w14:paraId="0DF373CD" w14:textId="77777777" w:rsidR="00931100" w:rsidRPr="00931100" w:rsidRDefault="00931100" w:rsidP="00931100">
            <w:pPr>
              <w:spacing w:before="120" w:after="0" w:line="240" w:lineRule="auto"/>
              <w:jc w:val="left"/>
              <w:rPr>
                <w:rFonts w:eastAsia="Calibri" w:cs="Arial"/>
                <w:sz w:val="20"/>
                <w:szCs w:val="20"/>
              </w:rPr>
            </w:pPr>
            <w:r w:rsidRPr="00931100">
              <w:rPr>
                <w:rFonts w:eastAsia="Calibri" w:cs="Arial"/>
                <w:sz w:val="20"/>
                <w:szCs w:val="20"/>
              </w:rPr>
              <w:t>Due Date &amp; Time</w:t>
            </w:r>
          </w:p>
        </w:tc>
        <w:tc>
          <w:tcPr>
            <w:tcW w:w="8930" w:type="dxa"/>
            <w:gridSpan w:val="5"/>
          </w:tcPr>
          <w:p w14:paraId="4FAE4468" w14:textId="110F0756" w:rsidR="00931100" w:rsidRPr="00931100" w:rsidRDefault="0050605C" w:rsidP="00931100">
            <w:pPr>
              <w:spacing w:before="120" w:after="0" w:line="240" w:lineRule="auto"/>
              <w:rPr>
                <w:rFonts w:eastAsia="Calibri" w:cs="Arial"/>
                <w:sz w:val="20"/>
                <w:szCs w:val="20"/>
              </w:rPr>
            </w:pPr>
            <w:r w:rsidRPr="0050605C">
              <w:rPr>
                <w:rFonts w:eastAsia="Calibri" w:cs="Arial"/>
                <w:sz w:val="20"/>
                <w:szCs w:val="20"/>
                <w:lang w:val="en-US"/>
              </w:rPr>
              <w:t>Written Report: 11.55 pm Sunday, Week 11</w:t>
            </w:r>
          </w:p>
        </w:tc>
      </w:tr>
      <w:tr w:rsidR="00931100" w:rsidRPr="00931100" w14:paraId="6C5570CD" w14:textId="77777777" w:rsidTr="005569CD">
        <w:trPr>
          <w:trHeight w:val="979"/>
          <w:jc w:val="center"/>
        </w:trPr>
        <w:tc>
          <w:tcPr>
            <w:tcW w:w="5245" w:type="dxa"/>
            <w:gridSpan w:val="2"/>
          </w:tcPr>
          <w:p w14:paraId="219B5532" w14:textId="77777777" w:rsidR="00931100" w:rsidRPr="00931100" w:rsidRDefault="00931100" w:rsidP="00931100">
            <w:pPr>
              <w:spacing w:before="120" w:after="0" w:line="240" w:lineRule="auto"/>
              <w:rPr>
                <w:rFonts w:eastAsia="Calibri" w:cs="Arial"/>
                <w:sz w:val="20"/>
                <w:szCs w:val="20"/>
              </w:rPr>
            </w:pPr>
            <w:r w:rsidRPr="00931100">
              <w:rPr>
                <w:rFonts w:eastAsia="Calibri" w:cs="Arial"/>
                <w:sz w:val="20"/>
                <w:szCs w:val="20"/>
              </w:rPr>
              <w:t>Course Lecturer/Tutor Name:</w:t>
            </w:r>
          </w:p>
        </w:tc>
        <w:tc>
          <w:tcPr>
            <w:tcW w:w="5353" w:type="dxa"/>
            <w:gridSpan w:val="4"/>
          </w:tcPr>
          <w:p w14:paraId="5F2011BD" w14:textId="23000609" w:rsidR="00931100" w:rsidRPr="00931100" w:rsidRDefault="00931100" w:rsidP="00931100">
            <w:pPr>
              <w:spacing w:before="120" w:after="0" w:line="240" w:lineRule="auto"/>
              <w:rPr>
                <w:rFonts w:eastAsia="Calibri" w:cs="Arial"/>
                <w:sz w:val="20"/>
                <w:szCs w:val="20"/>
              </w:rPr>
            </w:pPr>
            <w:r w:rsidRPr="00931100">
              <w:rPr>
                <w:rFonts w:eastAsia="Calibri" w:cs="Arial"/>
                <w:sz w:val="20"/>
                <w:szCs w:val="20"/>
              </w:rPr>
              <w:t xml:space="preserve">Assessment Word Count (if applicable): </w:t>
            </w:r>
            <w:r w:rsidR="003C0560">
              <w:rPr>
                <w:rFonts w:eastAsia="Calibri" w:cs="Arial"/>
                <w:sz w:val="20"/>
                <w:szCs w:val="20"/>
              </w:rPr>
              <w:t>2855</w:t>
            </w:r>
          </w:p>
        </w:tc>
      </w:tr>
      <w:tr w:rsidR="00931100" w:rsidRPr="00931100" w14:paraId="25F5F672" w14:textId="77777777" w:rsidTr="005569CD">
        <w:trPr>
          <w:jc w:val="center"/>
        </w:trPr>
        <w:tc>
          <w:tcPr>
            <w:tcW w:w="10598" w:type="dxa"/>
            <w:gridSpan w:val="6"/>
            <w:shd w:val="clear" w:color="auto" w:fill="D9E2F3"/>
          </w:tcPr>
          <w:p w14:paraId="24D54CF4" w14:textId="77777777" w:rsidR="00931100" w:rsidRPr="00931100" w:rsidRDefault="00931100" w:rsidP="00931100">
            <w:pPr>
              <w:numPr>
                <w:ilvl w:val="0"/>
                <w:numId w:val="11"/>
              </w:numPr>
              <w:spacing w:before="120" w:after="0" w:line="240" w:lineRule="auto"/>
              <w:contextualSpacing/>
              <w:jc w:val="left"/>
              <w:rPr>
                <w:rFonts w:eastAsia="Calibri" w:cs="Arial"/>
                <w:b/>
                <w:sz w:val="20"/>
                <w:szCs w:val="20"/>
              </w:rPr>
            </w:pPr>
            <w:r w:rsidRPr="00931100">
              <w:rPr>
                <w:rFonts w:eastAsia="Calibri" w:cs="Arial"/>
                <w:b/>
                <w:sz w:val="20"/>
                <w:szCs w:val="20"/>
              </w:rPr>
              <w:t>Student Declaration</w:t>
            </w:r>
          </w:p>
        </w:tc>
      </w:tr>
      <w:tr w:rsidR="00931100" w:rsidRPr="00931100" w14:paraId="44ABF934" w14:textId="77777777" w:rsidTr="005569CD">
        <w:trPr>
          <w:jc w:val="center"/>
        </w:trPr>
        <w:tc>
          <w:tcPr>
            <w:tcW w:w="10598" w:type="dxa"/>
            <w:gridSpan w:val="6"/>
          </w:tcPr>
          <w:p w14:paraId="67FC4A07" w14:textId="77777777" w:rsidR="00931100" w:rsidRPr="00931100" w:rsidRDefault="00931100" w:rsidP="00931100">
            <w:pPr>
              <w:spacing w:before="120" w:after="0" w:line="240" w:lineRule="auto"/>
              <w:rPr>
                <w:rFonts w:eastAsia="Calibri" w:cs="Arial"/>
                <w:sz w:val="20"/>
                <w:szCs w:val="20"/>
              </w:rPr>
            </w:pPr>
            <w:r w:rsidRPr="00931100">
              <w:rPr>
                <w:rFonts w:eastAsia="Calibri" w:cs="Arial"/>
                <w:sz w:val="20"/>
                <w:szCs w:val="20"/>
              </w:rPr>
              <w:t>By signing and submitting this cover sheet, I/we declare that:</w:t>
            </w:r>
          </w:p>
          <w:p w14:paraId="54B0EDD8" w14:textId="77777777" w:rsidR="00931100" w:rsidRPr="00931100" w:rsidRDefault="00931100" w:rsidP="00931100">
            <w:pPr>
              <w:numPr>
                <w:ilvl w:val="0"/>
                <w:numId w:val="12"/>
              </w:numPr>
              <w:spacing w:before="120" w:after="0" w:line="240" w:lineRule="auto"/>
              <w:contextualSpacing/>
              <w:jc w:val="left"/>
              <w:rPr>
                <w:rFonts w:eastAsia="Calibri" w:cs="Arial"/>
                <w:sz w:val="20"/>
                <w:szCs w:val="20"/>
              </w:rPr>
            </w:pPr>
            <w:r w:rsidRPr="00931100">
              <w:rPr>
                <w:rFonts w:eastAsia="Calibri" w:cs="Arial"/>
                <w:sz w:val="20"/>
                <w:szCs w:val="20"/>
              </w:rPr>
              <w:t>This assessment submission is my/our own work unless otherwise acknowledged (including the use of generative AI tools) and is in accordance with the Institute’s</w:t>
            </w:r>
            <w:r w:rsidRPr="00931100">
              <w:rPr>
                <w:rFonts w:eastAsia="Calibri" w:cs="Arial"/>
                <w:b/>
                <w:bCs/>
                <w:sz w:val="20"/>
                <w:szCs w:val="20"/>
              </w:rPr>
              <w:t xml:space="preserve"> </w:t>
            </w:r>
            <w:r w:rsidRPr="00931100">
              <w:rPr>
                <w:rFonts w:eastAsia="Calibri" w:cs="Arial"/>
                <w:b/>
                <w:bCs/>
                <w:i/>
                <w:sz w:val="20"/>
                <w:szCs w:val="20"/>
              </w:rPr>
              <w:t>Academic Integrity and Honesty Policy</w:t>
            </w:r>
            <w:r w:rsidRPr="00931100">
              <w:rPr>
                <w:rFonts w:eastAsia="Calibri" w:cs="Arial"/>
                <w:b/>
                <w:bCs/>
                <w:sz w:val="20"/>
                <w:szCs w:val="20"/>
              </w:rPr>
              <w:t xml:space="preserve"> </w:t>
            </w:r>
            <w:r w:rsidRPr="00931100">
              <w:rPr>
                <w:rFonts w:eastAsia="Calibri" w:cs="Arial"/>
                <w:sz w:val="20"/>
                <w:szCs w:val="20"/>
              </w:rPr>
              <w:t>available on the website.</w:t>
            </w:r>
          </w:p>
          <w:p w14:paraId="22A1689D" w14:textId="77777777" w:rsidR="00931100" w:rsidRPr="00931100" w:rsidRDefault="00931100" w:rsidP="00931100">
            <w:pPr>
              <w:numPr>
                <w:ilvl w:val="0"/>
                <w:numId w:val="12"/>
              </w:numPr>
              <w:spacing w:before="120" w:after="0" w:line="240" w:lineRule="auto"/>
              <w:contextualSpacing/>
              <w:jc w:val="left"/>
              <w:rPr>
                <w:rFonts w:eastAsia="Calibri" w:cs="Arial"/>
                <w:sz w:val="20"/>
                <w:szCs w:val="20"/>
              </w:rPr>
            </w:pPr>
            <w:r w:rsidRPr="00931100">
              <w:rPr>
                <w:rFonts w:eastAsia="Calibri" w:cs="Arial"/>
                <w:sz w:val="20"/>
                <w:szCs w:val="20"/>
              </w:rPr>
              <w:t xml:space="preserve">No part of this assessment has been submitted previously for advanced standing or academic credit in this or any other course. </w:t>
            </w:r>
          </w:p>
          <w:p w14:paraId="25370D27" w14:textId="77777777" w:rsidR="00931100" w:rsidRPr="00931100" w:rsidRDefault="00931100" w:rsidP="00931100">
            <w:pPr>
              <w:numPr>
                <w:ilvl w:val="0"/>
                <w:numId w:val="12"/>
              </w:numPr>
              <w:spacing w:before="120" w:after="0" w:line="240" w:lineRule="auto"/>
              <w:contextualSpacing/>
              <w:jc w:val="left"/>
              <w:rPr>
                <w:rFonts w:eastAsia="Calibri" w:cs="Arial"/>
                <w:sz w:val="20"/>
                <w:szCs w:val="20"/>
              </w:rPr>
            </w:pPr>
            <w:r w:rsidRPr="00931100">
              <w:rPr>
                <w:rFonts w:eastAsia="Calibri" w:cs="Arial"/>
                <w:sz w:val="20"/>
                <w:szCs w:val="20"/>
              </w:rPr>
              <w:t>I/we certify that we have not given a copy or have shown a copy of this assessment item to another student enrolled in the course, other than members of this group.</w:t>
            </w:r>
          </w:p>
          <w:p w14:paraId="4C005AE6" w14:textId="77777777" w:rsidR="00931100" w:rsidRPr="00931100" w:rsidRDefault="00931100" w:rsidP="00931100">
            <w:pPr>
              <w:numPr>
                <w:ilvl w:val="0"/>
                <w:numId w:val="12"/>
              </w:numPr>
              <w:spacing w:before="120" w:after="0" w:line="240" w:lineRule="auto"/>
              <w:contextualSpacing/>
              <w:jc w:val="left"/>
              <w:rPr>
                <w:rFonts w:eastAsia="Calibri" w:cs="Arial"/>
                <w:sz w:val="20"/>
                <w:szCs w:val="20"/>
              </w:rPr>
            </w:pPr>
            <w:r w:rsidRPr="00931100">
              <w:rPr>
                <w:rFonts w:eastAsia="Calibri" w:cs="Arial"/>
                <w:sz w:val="20"/>
                <w:szCs w:val="20"/>
              </w:rPr>
              <w:t>I/we are aware that the Lecturer/Tutor of this assessment may, for the purpose of assessing this assessment task communicate a copy of this assessment task to a plagiarism checking service to detect possible breaches of academic integrity, for example, plagiarism, recycling, cheating, contract cheating, or unauthorised use of generative AI (which may then retain a copy of the item on its database for the purpose of future investigation).</w:t>
            </w:r>
          </w:p>
        </w:tc>
      </w:tr>
      <w:tr w:rsidR="00931100" w:rsidRPr="00931100" w14:paraId="406BBA3C" w14:textId="77777777" w:rsidTr="005569CD">
        <w:trPr>
          <w:trHeight w:val="422"/>
          <w:jc w:val="center"/>
        </w:trPr>
        <w:tc>
          <w:tcPr>
            <w:tcW w:w="1668" w:type="dxa"/>
          </w:tcPr>
          <w:p w14:paraId="14841CF4" w14:textId="77777777" w:rsidR="00931100" w:rsidRPr="00931100" w:rsidRDefault="00931100" w:rsidP="00931100">
            <w:pPr>
              <w:spacing w:before="120" w:after="0" w:line="240" w:lineRule="auto"/>
              <w:rPr>
                <w:rFonts w:eastAsia="Calibri" w:cs="Arial"/>
                <w:sz w:val="20"/>
                <w:szCs w:val="20"/>
              </w:rPr>
            </w:pPr>
            <w:r w:rsidRPr="00931100">
              <w:rPr>
                <w:rFonts w:eastAsia="Calibri" w:cs="Arial"/>
                <w:sz w:val="20"/>
                <w:szCs w:val="20"/>
              </w:rPr>
              <w:t>Signature:</w:t>
            </w:r>
          </w:p>
        </w:tc>
        <w:tc>
          <w:tcPr>
            <w:tcW w:w="3631" w:type="dxa"/>
            <w:gridSpan w:val="2"/>
          </w:tcPr>
          <w:p w14:paraId="2B57870C" w14:textId="3841E72F" w:rsidR="00931100" w:rsidRPr="00931100" w:rsidRDefault="00931100" w:rsidP="00931100">
            <w:pPr>
              <w:spacing w:before="120" w:after="0" w:line="240" w:lineRule="auto"/>
              <w:rPr>
                <w:rFonts w:eastAsia="Calibri" w:cs="Arial"/>
                <w:sz w:val="20"/>
                <w:szCs w:val="20"/>
              </w:rPr>
            </w:pPr>
            <w:r w:rsidRPr="00931100">
              <w:rPr>
                <w:rFonts w:eastAsia="Calibri" w:cs="Arial"/>
                <w:sz w:val="20"/>
                <w:szCs w:val="20"/>
              </w:rPr>
              <w:t>B</w:t>
            </w:r>
            <w:r w:rsidR="004355BD">
              <w:rPr>
                <w:rFonts w:eastAsia="Calibri" w:cs="Arial"/>
                <w:sz w:val="20"/>
                <w:szCs w:val="20"/>
              </w:rPr>
              <w:t>K</w:t>
            </w:r>
            <w:r w:rsidRPr="00931100">
              <w:rPr>
                <w:rFonts w:eastAsia="Calibri" w:cs="Arial"/>
                <w:sz w:val="20"/>
                <w:szCs w:val="20"/>
              </w:rPr>
              <w:t>P</w:t>
            </w:r>
          </w:p>
        </w:tc>
        <w:tc>
          <w:tcPr>
            <w:tcW w:w="2039" w:type="dxa"/>
          </w:tcPr>
          <w:p w14:paraId="57E498FF" w14:textId="77777777" w:rsidR="00931100" w:rsidRPr="00931100" w:rsidRDefault="00931100" w:rsidP="00931100">
            <w:pPr>
              <w:spacing w:before="120" w:after="0" w:line="240" w:lineRule="auto"/>
              <w:rPr>
                <w:rFonts w:eastAsia="Calibri" w:cs="Arial"/>
                <w:sz w:val="20"/>
                <w:szCs w:val="20"/>
              </w:rPr>
            </w:pPr>
            <w:r w:rsidRPr="00931100">
              <w:rPr>
                <w:rFonts w:eastAsia="Calibri" w:cs="Arial"/>
                <w:sz w:val="20"/>
                <w:szCs w:val="20"/>
              </w:rPr>
              <w:t>Date:</w:t>
            </w:r>
          </w:p>
        </w:tc>
        <w:tc>
          <w:tcPr>
            <w:tcW w:w="3260" w:type="dxa"/>
            <w:gridSpan w:val="2"/>
          </w:tcPr>
          <w:p w14:paraId="77CE4CF8" w14:textId="06A281FE" w:rsidR="00931100" w:rsidRPr="00931100" w:rsidRDefault="004355BD" w:rsidP="00931100">
            <w:pPr>
              <w:spacing w:before="120" w:after="0" w:line="240" w:lineRule="auto"/>
              <w:rPr>
                <w:rFonts w:eastAsia="Calibri" w:cs="Arial"/>
                <w:sz w:val="20"/>
                <w:szCs w:val="20"/>
              </w:rPr>
            </w:pPr>
            <w:r>
              <w:rPr>
                <w:rFonts w:eastAsia="Calibri" w:cs="Arial"/>
                <w:sz w:val="20"/>
                <w:szCs w:val="20"/>
              </w:rPr>
              <w:t>18</w:t>
            </w:r>
            <w:r w:rsidRPr="004355BD">
              <w:rPr>
                <w:rFonts w:eastAsia="Calibri" w:cs="Arial"/>
                <w:sz w:val="20"/>
                <w:szCs w:val="20"/>
                <w:vertAlign w:val="superscript"/>
              </w:rPr>
              <w:t>th</w:t>
            </w:r>
            <w:r>
              <w:rPr>
                <w:rFonts w:eastAsia="Calibri" w:cs="Arial"/>
                <w:sz w:val="20"/>
                <w:szCs w:val="20"/>
              </w:rPr>
              <w:t xml:space="preserve"> April, 2026</w:t>
            </w:r>
          </w:p>
        </w:tc>
      </w:tr>
      <w:tr w:rsidR="004355BD" w:rsidRPr="00931100" w14:paraId="1BE8C7F3" w14:textId="77777777" w:rsidTr="005569CD">
        <w:trPr>
          <w:trHeight w:val="422"/>
          <w:jc w:val="center"/>
        </w:trPr>
        <w:tc>
          <w:tcPr>
            <w:tcW w:w="1668" w:type="dxa"/>
          </w:tcPr>
          <w:p w14:paraId="7FD45840" w14:textId="77777777" w:rsidR="004355BD" w:rsidRPr="00931100" w:rsidRDefault="004355BD" w:rsidP="004355BD">
            <w:pPr>
              <w:spacing w:before="120" w:after="0" w:line="240" w:lineRule="auto"/>
              <w:rPr>
                <w:rFonts w:eastAsia="Calibri" w:cs="Arial"/>
                <w:sz w:val="20"/>
                <w:szCs w:val="20"/>
              </w:rPr>
            </w:pPr>
            <w:r w:rsidRPr="00931100">
              <w:rPr>
                <w:rFonts w:eastAsia="Calibri" w:cs="Arial"/>
                <w:sz w:val="20"/>
                <w:szCs w:val="20"/>
              </w:rPr>
              <w:t>Signature:</w:t>
            </w:r>
          </w:p>
        </w:tc>
        <w:tc>
          <w:tcPr>
            <w:tcW w:w="3631" w:type="dxa"/>
            <w:gridSpan w:val="2"/>
          </w:tcPr>
          <w:p w14:paraId="104A81E5" w14:textId="559E62D2" w:rsidR="004355BD" w:rsidRPr="00931100" w:rsidRDefault="004355BD" w:rsidP="004355BD">
            <w:pPr>
              <w:spacing w:before="120" w:after="0" w:line="240" w:lineRule="auto"/>
              <w:rPr>
                <w:rFonts w:eastAsia="Calibri" w:cs="Arial"/>
                <w:sz w:val="20"/>
                <w:szCs w:val="20"/>
              </w:rPr>
            </w:pPr>
            <w:r>
              <w:rPr>
                <w:rFonts w:eastAsia="Calibri" w:cs="Arial"/>
                <w:sz w:val="20"/>
                <w:szCs w:val="20"/>
              </w:rPr>
              <w:t>BMG</w:t>
            </w:r>
          </w:p>
        </w:tc>
        <w:tc>
          <w:tcPr>
            <w:tcW w:w="2039" w:type="dxa"/>
          </w:tcPr>
          <w:p w14:paraId="1565DE60" w14:textId="77777777" w:rsidR="004355BD" w:rsidRPr="00931100" w:rsidRDefault="004355BD" w:rsidP="004355BD">
            <w:pPr>
              <w:spacing w:before="120" w:after="0" w:line="240" w:lineRule="auto"/>
              <w:rPr>
                <w:rFonts w:eastAsia="Calibri" w:cs="Arial"/>
                <w:sz w:val="20"/>
                <w:szCs w:val="20"/>
              </w:rPr>
            </w:pPr>
            <w:r w:rsidRPr="00931100">
              <w:rPr>
                <w:rFonts w:eastAsia="Calibri" w:cs="Arial"/>
                <w:sz w:val="20"/>
                <w:szCs w:val="20"/>
              </w:rPr>
              <w:t>Date:</w:t>
            </w:r>
          </w:p>
        </w:tc>
        <w:tc>
          <w:tcPr>
            <w:tcW w:w="3260" w:type="dxa"/>
            <w:gridSpan w:val="2"/>
          </w:tcPr>
          <w:p w14:paraId="0010B47D" w14:textId="49486E83" w:rsidR="004355BD" w:rsidRPr="00931100" w:rsidRDefault="004355BD" w:rsidP="004355BD">
            <w:pPr>
              <w:spacing w:before="120" w:after="0" w:line="240" w:lineRule="auto"/>
              <w:rPr>
                <w:rFonts w:eastAsia="Calibri" w:cs="Arial"/>
                <w:sz w:val="20"/>
                <w:szCs w:val="20"/>
              </w:rPr>
            </w:pPr>
            <w:r>
              <w:rPr>
                <w:rFonts w:eastAsia="Calibri" w:cs="Arial"/>
                <w:sz w:val="20"/>
                <w:szCs w:val="20"/>
              </w:rPr>
              <w:t>18</w:t>
            </w:r>
            <w:r w:rsidRPr="004355BD">
              <w:rPr>
                <w:rFonts w:eastAsia="Calibri" w:cs="Arial"/>
                <w:sz w:val="20"/>
                <w:szCs w:val="20"/>
                <w:vertAlign w:val="superscript"/>
              </w:rPr>
              <w:t>th</w:t>
            </w:r>
            <w:r>
              <w:rPr>
                <w:rFonts w:eastAsia="Calibri" w:cs="Arial"/>
                <w:sz w:val="20"/>
                <w:szCs w:val="20"/>
              </w:rPr>
              <w:t xml:space="preserve"> April, 2026</w:t>
            </w:r>
          </w:p>
        </w:tc>
      </w:tr>
      <w:tr w:rsidR="004355BD" w:rsidRPr="00931100" w14:paraId="35FEC1B9" w14:textId="77777777" w:rsidTr="005569CD">
        <w:trPr>
          <w:trHeight w:val="422"/>
          <w:jc w:val="center"/>
        </w:trPr>
        <w:tc>
          <w:tcPr>
            <w:tcW w:w="1668" w:type="dxa"/>
          </w:tcPr>
          <w:p w14:paraId="4C4B7305" w14:textId="77777777" w:rsidR="004355BD" w:rsidRPr="00931100" w:rsidRDefault="004355BD" w:rsidP="004355BD">
            <w:pPr>
              <w:spacing w:before="120" w:after="0" w:line="240" w:lineRule="auto"/>
              <w:rPr>
                <w:rFonts w:eastAsia="Calibri" w:cs="Arial"/>
                <w:sz w:val="20"/>
                <w:szCs w:val="20"/>
              </w:rPr>
            </w:pPr>
            <w:r w:rsidRPr="00931100">
              <w:rPr>
                <w:rFonts w:eastAsia="Calibri" w:cs="Arial"/>
                <w:sz w:val="20"/>
                <w:szCs w:val="20"/>
              </w:rPr>
              <w:t>Signature:</w:t>
            </w:r>
          </w:p>
        </w:tc>
        <w:tc>
          <w:tcPr>
            <w:tcW w:w="3631" w:type="dxa"/>
            <w:gridSpan w:val="2"/>
          </w:tcPr>
          <w:p w14:paraId="058861B5" w14:textId="10630301" w:rsidR="004355BD" w:rsidRPr="00931100" w:rsidRDefault="004355BD" w:rsidP="004355BD">
            <w:pPr>
              <w:spacing w:before="120" w:after="0" w:line="240" w:lineRule="auto"/>
              <w:rPr>
                <w:rFonts w:eastAsia="Calibri" w:cs="Arial"/>
                <w:sz w:val="20"/>
                <w:szCs w:val="20"/>
              </w:rPr>
            </w:pPr>
            <w:r>
              <w:rPr>
                <w:rFonts w:eastAsia="Calibri" w:cs="Arial"/>
                <w:sz w:val="20"/>
                <w:szCs w:val="20"/>
              </w:rPr>
              <w:t>IA</w:t>
            </w:r>
          </w:p>
        </w:tc>
        <w:tc>
          <w:tcPr>
            <w:tcW w:w="2039" w:type="dxa"/>
          </w:tcPr>
          <w:p w14:paraId="5C191CE4" w14:textId="77777777" w:rsidR="004355BD" w:rsidRPr="00931100" w:rsidRDefault="004355BD" w:rsidP="004355BD">
            <w:pPr>
              <w:spacing w:before="120" w:after="0" w:line="240" w:lineRule="auto"/>
              <w:rPr>
                <w:rFonts w:eastAsia="Calibri" w:cs="Arial"/>
                <w:sz w:val="20"/>
                <w:szCs w:val="20"/>
              </w:rPr>
            </w:pPr>
            <w:r w:rsidRPr="00931100">
              <w:rPr>
                <w:rFonts w:eastAsia="Calibri" w:cs="Arial"/>
                <w:sz w:val="20"/>
                <w:szCs w:val="20"/>
              </w:rPr>
              <w:t>Date:</w:t>
            </w:r>
          </w:p>
        </w:tc>
        <w:tc>
          <w:tcPr>
            <w:tcW w:w="3260" w:type="dxa"/>
            <w:gridSpan w:val="2"/>
          </w:tcPr>
          <w:p w14:paraId="4A764340" w14:textId="7AC46F67" w:rsidR="004355BD" w:rsidRPr="00931100" w:rsidRDefault="004355BD" w:rsidP="004355BD">
            <w:pPr>
              <w:spacing w:before="120" w:after="0" w:line="240" w:lineRule="auto"/>
              <w:rPr>
                <w:rFonts w:eastAsia="Calibri" w:cs="Arial"/>
                <w:sz w:val="20"/>
                <w:szCs w:val="20"/>
              </w:rPr>
            </w:pPr>
            <w:r>
              <w:rPr>
                <w:rFonts w:eastAsia="Calibri" w:cs="Arial"/>
                <w:sz w:val="20"/>
                <w:szCs w:val="20"/>
              </w:rPr>
              <w:t>18</w:t>
            </w:r>
            <w:r w:rsidRPr="004355BD">
              <w:rPr>
                <w:rFonts w:eastAsia="Calibri" w:cs="Arial"/>
                <w:sz w:val="20"/>
                <w:szCs w:val="20"/>
                <w:vertAlign w:val="superscript"/>
              </w:rPr>
              <w:t>th</w:t>
            </w:r>
            <w:r>
              <w:rPr>
                <w:rFonts w:eastAsia="Calibri" w:cs="Arial"/>
                <w:sz w:val="20"/>
                <w:szCs w:val="20"/>
              </w:rPr>
              <w:t xml:space="preserve"> April, 2026</w:t>
            </w:r>
          </w:p>
        </w:tc>
      </w:tr>
      <w:tr w:rsidR="004355BD" w:rsidRPr="00931100" w14:paraId="41DCBF1F" w14:textId="77777777" w:rsidTr="005569CD">
        <w:trPr>
          <w:trHeight w:val="422"/>
          <w:jc w:val="center"/>
        </w:trPr>
        <w:tc>
          <w:tcPr>
            <w:tcW w:w="1668" w:type="dxa"/>
          </w:tcPr>
          <w:p w14:paraId="095A9706" w14:textId="77777777" w:rsidR="004355BD" w:rsidRPr="00931100" w:rsidRDefault="004355BD" w:rsidP="004355BD">
            <w:pPr>
              <w:spacing w:before="120" w:after="0" w:line="240" w:lineRule="auto"/>
              <w:rPr>
                <w:rFonts w:eastAsia="Calibri" w:cs="Arial"/>
                <w:sz w:val="20"/>
                <w:szCs w:val="20"/>
              </w:rPr>
            </w:pPr>
            <w:r w:rsidRPr="00931100">
              <w:rPr>
                <w:rFonts w:eastAsia="Calibri" w:cs="Arial"/>
                <w:sz w:val="20"/>
                <w:szCs w:val="20"/>
              </w:rPr>
              <w:t>Signature:</w:t>
            </w:r>
          </w:p>
        </w:tc>
        <w:tc>
          <w:tcPr>
            <w:tcW w:w="3631" w:type="dxa"/>
            <w:gridSpan w:val="2"/>
          </w:tcPr>
          <w:p w14:paraId="73607939" w14:textId="4176F2DD" w:rsidR="004355BD" w:rsidRPr="00931100" w:rsidRDefault="004355BD" w:rsidP="004355BD">
            <w:pPr>
              <w:spacing w:before="120" w:after="0" w:line="240" w:lineRule="auto"/>
              <w:rPr>
                <w:rFonts w:eastAsia="Calibri" w:cs="Arial"/>
                <w:sz w:val="20"/>
                <w:szCs w:val="20"/>
              </w:rPr>
            </w:pPr>
            <w:r>
              <w:rPr>
                <w:rFonts w:eastAsia="Calibri" w:cs="Arial"/>
                <w:sz w:val="20"/>
                <w:szCs w:val="20"/>
              </w:rPr>
              <w:t>A</w:t>
            </w:r>
          </w:p>
        </w:tc>
        <w:tc>
          <w:tcPr>
            <w:tcW w:w="2039" w:type="dxa"/>
          </w:tcPr>
          <w:p w14:paraId="57177AD0" w14:textId="77777777" w:rsidR="004355BD" w:rsidRPr="00931100" w:rsidRDefault="004355BD" w:rsidP="004355BD">
            <w:pPr>
              <w:spacing w:before="120" w:after="0" w:line="240" w:lineRule="auto"/>
              <w:rPr>
                <w:rFonts w:eastAsia="Calibri" w:cs="Arial"/>
                <w:sz w:val="20"/>
                <w:szCs w:val="20"/>
              </w:rPr>
            </w:pPr>
            <w:r w:rsidRPr="00931100">
              <w:rPr>
                <w:rFonts w:eastAsia="Calibri" w:cs="Arial"/>
                <w:sz w:val="20"/>
                <w:szCs w:val="20"/>
              </w:rPr>
              <w:t>Date:</w:t>
            </w:r>
          </w:p>
        </w:tc>
        <w:tc>
          <w:tcPr>
            <w:tcW w:w="3260" w:type="dxa"/>
            <w:gridSpan w:val="2"/>
          </w:tcPr>
          <w:p w14:paraId="3ACF6830" w14:textId="5CF2BE20" w:rsidR="004355BD" w:rsidRPr="00931100" w:rsidRDefault="004355BD" w:rsidP="004355BD">
            <w:pPr>
              <w:spacing w:before="120" w:after="0" w:line="240" w:lineRule="auto"/>
              <w:rPr>
                <w:rFonts w:eastAsia="Calibri" w:cs="Arial"/>
                <w:sz w:val="20"/>
                <w:szCs w:val="20"/>
              </w:rPr>
            </w:pPr>
            <w:r>
              <w:rPr>
                <w:rFonts w:eastAsia="Calibri" w:cs="Arial"/>
                <w:sz w:val="20"/>
                <w:szCs w:val="20"/>
              </w:rPr>
              <w:t>18</w:t>
            </w:r>
            <w:r w:rsidRPr="004355BD">
              <w:rPr>
                <w:rFonts w:eastAsia="Calibri" w:cs="Arial"/>
                <w:sz w:val="20"/>
                <w:szCs w:val="20"/>
                <w:vertAlign w:val="superscript"/>
              </w:rPr>
              <w:t>th</w:t>
            </w:r>
            <w:r>
              <w:rPr>
                <w:rFonts w:eastAsia="Calibri" w:cs="Arial"/>
                <w:sz w:val="20"/>
                <w:szCs w:val="20"/>
              </w:rPr>
              <w:t xml:space="preserve"> April, 2026</w:t>
            </w:r>
          </w:p>
        </w:tc>
      </w:tr>
    </w:tbl>
    <w:p w14:paraId="7B9048C7" w14:textId="77777777" w:rsidR="00931100" w:rsidRDefault="00931100" w:rsidP="00931100"/>
    <w:p w14:paraId="0A614CF0" w14:textId="77777777" w:rsidR="00931100" w:rsidRDefault="00931100" w:rsidP="00931100"/>
    <w:p w14:paraId="18A310A2" w14:textId="77777777" w:rsidR="00931100" w:rsidRDefault="00931100" w:rsidP="00931100"/>
    <w:p w14:paraId="08D101E4" w14:textId="77777777" w:rsidR="00931100" w:rsidRDefault="00931100" w:rsidP="00931100"/>
    <w:p w14:paraId="2792E108" w14:textId="77777777" w:rsidR="00931100" w:rsidRPr="0048143A" w:rsidRDefault="00931100" w:rsidP="00931100"/>
    <w:p w14:paraId="47822799" w14:textId="77777777" w:rsidR="00875241" w:rsidRPr="0048143A" w:rsidRDefault="00000000" w:rsidP="00931100">
      <w:pPr>
        <w:pStyle w:val="Heading1"/>
        <w:numPr>
          <w:ilvl w:val="0"/>
          <w:numId w:val="0"/>
        </w:numPr>
        <w:ind w:left="432" w:hanging="432"/>
      </w:pPr>
      <w:bookmarkStart w:id="0" w:name="_Toc227434265"/>
      <w:r w:rsidRPr="0048143A">
        <w:lastRenderedPageBreak/>
        <w:t>Executive Summary</w:t>
      </w:r>
      <w:bookmarkEnd w:id="0"/>
    </w:p>
    <w:p w14:paraId="59FA2CE1" w14:textId="77777777" w:rsidR="005D0194" w:rsidRPr="0048143A" w:rsidRDefault="005D0194" w:rsidP="00931100">
      <w:r w:rsidRPr="0048143A">
        <w:t xml:space="preserve">This report assesses feasibility of </w:t>
      </w:r>
      <w:proofErr w:type="spellStart"/>
      <w:r w:rsidRPr="0048143A">
        <w:t>FoodLink</w:t>
      </w:r>
      <w:proofErr w:type="spellEnd"/>
      <w:r w:rsidRPr="0048143A">
        <w:t xml:space="preserve"> Australia, the entrepreneurial project created in AT2. </w:t>
      </w:r>
      <w:proofErr w:type="spellStart"/>
      <w:r w:rsidRPr="0048143A">
        <w:t>FoodLink</w:t>
      </w:r>
      <w:proofErr w:type="spellEnd"/>
      <w:r w:rsidRPr="0048143A">
        <w:t xml:space="preserve"> is an online system that links restaurants, cafes and supermarkets with excess food to consumers and local charities via a live mobile application. This business plan aims to transform the concept of presentation by the group into the investor facing proposal based on a Business Model Canvas and four feasibility analyses: operations and technology, market, human resources and financial feasibility.</w:t>
      </w:r>
    </w:p>
    <w:p w14:paraId="6D989BF6" w14:textId="77777777" w:rsidR="005D0194" w:rsidRPr="0048143A" w:rsidRDefault="005D0194" w:rsidP="00931100">
      <w:r w:rsidRPr="0048143A">
        <w:t xml:space="preserve">These results suggest that </w:t>
      </w:r>
      <w:proofErr w:type="spellStart"/>
      <w:r w:rsidRPr="0048143A">
        <w:t>FoodLink</w:t>
      </w:r>
      <w:proofErr w:type="spellEnd"/>
      <w:r w:rsidRPr="0048143A">
        <w:t xml:space="preserve"> possesses valid business and social opportunities since it would focus on two related issues in Australia. Annually, approximately 7.6 million </w:t>
      </w:r>
      <w:proofErr w:type="spellStart"/>
      <w:r w:rsidRPr="0048143A">
        <w:t>tonnes</w:t>
      </w:r>
      <w:proofErr w:type="spellEnd"/>
      <w:r w:rsidRPr="0048143A">
        <w:t xml:space="preserve"> of food go to waste in Australia, and the Hunger Report 2025 by Foodbank shows that one out of every three households </w:t>
      </w:r>
      <w:proofErr w:type="gramStart"/>
      <w:r w:rsidRPr="0048143A">
        <w:t>was</w:t>
      </w:r>
      <w:proofErr w:type="gramEnd"/>
      <w:r w:rsidRPr="0048143A">
        <w:t xml:space="preserve"> hungry in 2025 (Department of Climate Change, Energy, the Environment and Water [DCCEW], 2025; Foodbank Australia, 2025). In 2026, food and non-alcoholic drinks were also one of the major causes of inflation (Australian Bureau of Statistics [ABS], 2026a). Such circumstances intensify the need of discounted, convenient access to food and provide the motivation to vendors to sell excess stock, instead of disposing of it.</w:t>
      </w:r>
    </w:p>
    <w:p w14:paraId="1AA13345" w14:textId="6D35DE71" w:rsidR="00875241" w:rsidRPr="0048143A" w:rsidRDefault="005D0194" w:rsidP="00931100">
      <w:r w:rsidRPr="0048143A">
        <w:t>The report concludes that the venture can best proceed as a pilot in Sydney and Melbourne, in stages, utilizing an asset-light app model, outsourced development, customer pick up and charity partnerships. The market feasibility would be moderate to high since it is the competition that confirms the demand, although it is up to local vendor density, quality control and repeat usage. The four founders are playing distinct roles and increasing staffing gradually, which makes human resource feasible. In terms of finances, the AT2 funding needs of 40,000 is enough to fund an MVP, with the model showing near break-even in the first year, and with better profitability throughout the third year in case of realistic adoption assumptions. The report thus advises that it should go ahead, however, in phases based on investment and pilot performance.</w:t>
      </w:r>
      <w:r w:rsidR="00000000" w:rsidRPr="0048143A">
        <w:br w:type="page"/>
      </w:r>
    </w:p>
    <w:sdt>
      <w:sdtPr>
        <w:rPr>
          <w:rFonts w:eastAsiaTheme="minorEastAsia" w:cstheme="minorBidi"/>
          <w:b w:val="0"/>
          <w:bCs w:val="0"/>
          <w:sz w:val="24"/>
          <w:szCs w:val="24"/>
        </w:rPr>
        <w:id w:val="1508940140"/>
        <w:docPartObj>
          <w:docPartGallery w:val="Table of Contents"/>
          <w:docPartUnique/>
        </w:docPartObj>
      </w:sdtPr>
      <w:sdtEndPr>
        <w:rPr>
          <w:noProof/>
        </w:rPr>
      </w:sdtEndPr>
      <w:sdtContent>
        <w:p w14:paraId="06101573" w14:textId="4168F761" w:rsidR="0048143A" w:rsidRPr="0048143A" w:rsidRDefault="0048143A" w:rsidP="00931100">
          <w:pPr>
            <w:pStyle w:val="TOCHeading"/>
            <w:numPr>
              <w:ilvl w:val="0"/>
              <w:numId w:val="0"/>
            </w:numPr>
            <w:ind w:left="432" w:hanging="432"/>
          </w:pPr>
          <w:r w:rsidRPr="0048143A">
            <w:t>Table of Contents</w:t>
          </w:r>
        </w:p>
        <w:p w14:paraId="08197E37" w14:textId="2140E94A" w:rsidR="00931100" w:rsidRDefault="0048143A" w:rsidP="00931100">
          <w:pPr>
            <w:pStyle w:val="TOC1"/>
            <w:tabs>
              <w:tab w:val="right" w:leader="dot" w:pos="9628"/>
            </w:tabs>
            <w:rPr>
              <w:rFonts w:asciiTheme="minorHAnsi" w:hAnsiTheme="minorHAnsi"/>
              <w:noProof/>
              <w:kern w:val="2"/>
              <w14:ligatures w14:val="standardContextual"/>
            </w:rPr>
          </w:pPr>
          <w:r w:rsidRPr="0048143A">
            <w:fldChar w:fldCharType="begin"/>
          </w:r>
          <w:r w:rsidRPr="0048143A">
            <w:instrText xml:space="preserve"> TOC \o "1-3" \h \z \u </w:instrText>
          </w:r>
          <w:r w:rsidRPr="0048143A">
            <w:fldChar w:fldCharType="separate"/>
          </w:r>
          <w:hyperlink w:anchor="_Toc227434265" w:history="1">
            <w:r w:rsidR="00931100" w:rsidRPr="006C230E">
              <w:rPr>
                <w:rStyle w:val="Hyperlink"/>
                <w:noProof/>
              </w:rPr>
              <w:t>Executive Summary</w:t>
            </w:r>
            <w:r w:rsidR="00931100">
              <w:rPr>
                <w:noProof/>
                <w:webHidden/>
              </w:rPr>
              <w:tab/>
            </w:r>
            <w:r w:rsidR="00931100">
              <w:rPr>
                <w:noProof/>
                <w:webHidden/>
              </w:rPr>
              <w:fldChar w:fldCharType="begin"/>
            </w:r>
            <w:r w:rsidR="00931100">
              <w:rPr>
                <w:noProof/>
                <w:webHidden/>
              </w:rPr>
              <w:instrText xml:space="preserve"> PAGEREF _Toc227434265 \h </w:instrText>
            </w:r>
            <w:r w:rsidR="00931100">
              <w:rPr>
                <w:noProof/>
                <w:webHidden/>
              </w:rPr>
            </w:r>
            <w:r w:rsidR="00931100">
              <w:rPr>
                <w:noProof/>
                <w:webHidden/>
              </w:rPr>
              <w:fldChar w:fldCharType="separate"/>
            </w:r>
            <w:r w:rsidR="00931100">
              <w:rPr>
                <w:noProof/>
                <w:webHidden/>
              </w:rPr>
              <w:t>2</w:t>
            </w:r>
            <w:r w:rsidR="00931100">
              <w:rPr>
                <w:noProof/>
                <w:webHidden/>
              </w:rPr>
              <w:fldChar w:fldCharType="end"/>
            </w:r>
          </w:hyperlink>
        </w:p>
        <w:p w14:paraId="550BB090" w14:textId="5A7A654C" w:rsidR="00931100" w:rsidRDefault="00931100" w:rsidP="00931100">
          <w:pPr>
            <w:pStyle w:val="TOC1"/>
            <w:tabs>
              <w:tab w:val="left" w:pos="480"/>
              <w:tab w:val="right" w:leader="dot" w:pos="9628"/>
            </w:tabs>
            <w:rPr>
              <w:rFonts w:asciiTheme="minorHAnsi" w:hAnsiTheme="minorHAnsi"/>
              <w:noProof/>
              <w:kern w:val="2"/>
              <w14:ligatures w14:val="standardContextual"/>
            </w:rPr>
          </w:pPr>
          <w:hyperlink w:anchor="_Toc227434266" w:history="1">
            <w:r w:rsidRPr="006C230E">
              <w:rPr>
                <w:rStyle w:val="Hyperlink"/>
                <w:noProof/>
              </w:rPr>
              <w:t>1</w:t>
            </w:r>
            <w:r>
              <w:rPr>
                <w:rFonts w:asciiTheme="minorHAnsi" w:hAnsiTheme="minorHAnsi"/>
                <w:noProof/>
                <w:kern w:val="2"/>
                <w14:ligatures w14:val="standardContextual"/>
              </w:rPr>
              <w:tab/>
            </w:r>
            <w:r w:rsidRPr="006C230E">
              <w:rPr>
                <w:rStyle w:val="Hyperlink"/>
                <w:noProof/>
              </w:rPr>
              <w:t>Introduction</w:t>
            </w:r>
            <w:r>
              <w:rPr>
                <w:noProof/>
                <w:webHidden/>
              </w:rPr>
              <w:tab/>
            </w:r>
            <w:r>
              <w:rPr>
                <w:noProof/>
                <w:webHidden/>
              </w:rPr>
              <w:fldChar w:fldCharType="begin"/>
            </w:r>
            <w:r>
              <w:rPr>
                <w:noProof/>
                <w:webHidden/>
              </w:rPr>
              <w:instrText xml:space="preserve"> PAGEREF _Toc227434266 \h </w:instrText>
            </w:r>
            <w:r>
              <w:rPr>
                <w:noProof/>
                <w:webHidden/>
              </w:rPr>
            </w:r>
            <w:r>
              <w:rPr>
                <w:noProof/>
                <w:webHidden/>
              </w:rPr>
              <w:fldChar w:fldCharType="separate"/>
            </w:r>
            <w:r>
              <w:rPr>
                <w:noProof/>
                <w:webHidden/>
              </w:rPr>
              <w:t>4</w:t>
            </w:r>
            <w:r>
              <w:rPr>
                <w:noProof/>
                <w:webHidden/>
              </w:rPr>
              <w:fldChar w:fldCharType="end"/>
            </w:r>
          </w:hyperlink>
        </w:p>
        <w:p w14:paraId="3C816113" w14:textId="5192962F" w:rsidR="00931100" w:rsidRDefault="00931100" w:rsidP="00931100">
          <w:pPr>
            <w:pStyle w:val="TOC1"/>
            <w:tabs>
              <w:tab w:val="left" w:pos="480"/>
              <w:tab w:val="right" w:leader="dot" w:pos="9628"/>
            </w:tabs>
            <w:rPr>
              <w:rFonts w:asciiTheme="minorHAnsi" w:hAnsiTheme="minorHAnsi"/>
              <w:noProof/>
              <w:kern w:val="2"/>
              <w14:ligatures w14:val="standardContextual"/>
            </w:rPr>
          </w:pPr>
          <w:hyperlink w:anchor="_Toc227434267" w:history="1">
            <w:r w:rsidRPr="006C230E">
              <w:rPr>
                <w:rStyle w:val="Hyperlink"/>
                <w:noProof/>
              </w:rPr>
              <w:t>2</w:t>
            </w:r>
            <w:r>
              <w:rPr>
                <w:rFonts w:asciiTheme="minorHAnsi" w:hAnsiTheme="minorHAnsi"/>
                <w:noProof/>
                <w:kern w:val="2"/>
                <w14:ligatures w14:val="standardContextual"/>
              </w:rPr>
              <w:tab/>
            </w:r>
            <w:r w:rsidRPr="006C230E">
              <w:rPr>
                <w:rStyle w:val="Hyperlink"/>
                <w:noProof/>
              </w:rPr>
              <w:t>Business Model Canvas</w:t>
            </w:r>
            <w:r>
              <w:rPr>
                <w:noProof/>
                <w:webHidden/>
              </w:rPr>
              <w:tab/>
            </w:r>
            <w:r>
              <w:rPr>
                <w:noProof/>
                <w:webHidden/>
              </w:rPr>
              <w:fldChar w:fldCharType="begin"/>
            </w:r>
            <w:r>
              <w:rPr>
                <w:noProof/>
                <w:webHidden/>
              </w:rPr>
              <w:instrText xml:space="preserve"> PAGEREF _Toc227434267 \h </w:instrText>
            </w:r>
            <w:r>
              <w:rPr>
                <w:noProof/>
                <w:webHidden/>
              </w:rPr>
            </w:r>
            <w:r>
              <w:rPr>
                <w:noProof/>
                <w:webHidden/>
              </w:rPr>
              <w:fldChar w:fldCharType="separate"/>
            </w:r>
            <w:r>
              <w:rPr>
                <w:noProof/>
                <w:webHidden/>
              </w:rPr>
              <w:t>4</w:t>
            </w:r>
            <w:r>
              <w:rPr>
                <w:noProof/>
                <w:webHidden/>
              </w:rPr>
              <w:fldChar w:fldCharType="end"/>
            </w:r>
          </w:hyperlink>
        </w:p>
        <w:p w14:paraId="4A75EACC" w14:textId="165662D1" w:rsidR="00931100" w:rsidRDefault="00931100" w:rsidP="00931100">
          <w:pPr>
            <w:pStyle w:val="TOC1"/>
            <w:tabs>
              <w:tab w:val="left" w:pos="480"/>
              <w:tab w:val="right" w:leader="dot" w:pos="9628"/>
            </w:tabs>
            <w:rPr>
              <w:rFonts w:asciiTheme="minorHAnsi" w:hAnsiTheme="minorHAnsi"/>
              <w:noProof/>
              <w:kern w:val="2"/>
              <w14:ligatures w14:val="standardContextual"/>
            </w:rPr>
          </w:pPr>
          <w:hyperlink w:anchor="_Toc227434268" w:history="1">
            <w:r w:rsidRPr="006C230E">
              <w:rPr>
                <w:rStyle w:val="Hyperlink"/>
                <w:noProof/>
              </w:rPr>
              <w:t>3</w:t>
            </w:r>
            <w:r>
              <w:rPr>
                <w:rFonts w:asciiTheme="minorHAnsi" w:hAnsiTheme="minorHAnsi"/>
                <w:noProof/>
                <w:kern w:val="2"/>
                <w14:ligatures w14:val="standardContextual"/>
              </w:rPr>
              <w:tab/>
            </w:r>
            <w:r w:rsidRPr="006C230E">
              <w:rPr>
                <w:rStyle w:val="Hyperlink"/>
                <w:noProof/>
              </w:rPr>
              <w:t>Operations and Technology Feasibility</w:t>
            </w:r>
            <w:r>
              <w:rPr>
                <w:noProof/>
                <w:webHidden/>
              </w:rPr>
              <w:tab/>
            </w:r>
            <w:r>
              <w:rPr>
                <w:noProof/>
                <w:webHidden/>
              </w:rPr>
              <w:fldChar w:fldCharType="begin"/>
            </w:r>
            <w:r>
              <w:rPr>
                <w:noProof/>
                <w:webHidden/>
              </w:rPr>
              <w:instrText xml:space="preserve"> PAGEREF _Toc227434268 \h </w:instrText>
            </w:r>
            <w:r>
              <w:rPr>
                <w:noProof/>
                <w:webHidden/>
              </w:rPr>
            </w:r>
            <w:r>
              <w:rPr>
                <w:noProof/>
                <w:webHidden/>
              </w:rPr>
              <w:fldChar w:fldCharType="separate"/>
            </w:r>
            <w:r>
              <w:rPr>
                <w:noProof/>
                <w:webHidden/>
              </w:rPr>
              <w:t>7</w:t>
            </w:r>
            <w:r>
              <w:rPr>
                <w:noProof/>
                <w:webHidden/>
              </w:rPr>
              <w:fldChar w:fldCharType="end"/>
            </w:r>
          </w:hyperlink>
        </w:p>
        <w:p w14:paraId="28BD663C" w14:textId="73F06276" w:rsidR="00931100" w:rsidRDefault="00931100" w:rsidP="00931100">
          <w:pPr>
            <w:pStyle w:val="TOC1"/>
            <w:tabs>
              <w:tab w:val="left" w:pos="480"/>
              <w:tab w:val="right" w:leader="dot" w:pos="9628"/>
            </w:tabs>
            <w:rPr>
              <w:rFonts w:asciiTheme="minorHAnsi" w:hAnsiTheme="minorHAnsi"/>
              <w:noProof/>
              <w:kern w:val="2"/>
              <w14:ligatures w14:val="standardContextual"/>
            </w:rPr>
          </w:pPr>
          <w:hyperlink w:anchor="_Toc227434269" w:history="1">
            <w:r w:rsidRPr="006C230E">
              <w:rPr>
                <w:rStyle w:val="Hyperlink"/>
                <w:noProof/>
              </w:rPr>
              <w:t>4</w:t>
            </w:r>
            <w:r>
              <w:rPr>
                <w:rFonts w:asciiTheme="minorHAnsi" w:hAnsiTheme="minorHAnsi"/>
                <w:noProof/>
                <w:kern w:val="2"/>
                <w14:ligatures w14:val="standardContextual"/>
              </w:rPr>
              <w:tab/>
            </w:r>
            <w:r w:rsidRPr="006C230E">
              <w:rPr>
                <w:rStyle w:val="Hyperlink"/>
                <w:noProof/>
              </w:rPr>
              <w:t>Market Feasibility</w:t>
            </w:r>
            <w:r>
              <w:rPr>
                <w:noProof/>
                <w:webHidden/>
              </w:rPr>
              <w:tab/>
            </w:r>
            <w:r>
              <w:rPr>
                <w:noProof/>
                <w:webHidden/>
              </w:rPr>
              <w:fldChar w:fldCharType="begin"/>
            </w:r>
            <w:r>
              <w:rPr>
                <w:noProof/>
                <w:webHidden/>
              </w:rPr>
              <w:instrText xml:space="preserve"> PAGEREF _Toc227434269 \h </w:instrText>
            </w:r>
            <w:r>
              <w:rPr>
                <w:noProof/>
                <w:webHidden/>
              </w:rPr>
            </w:r>
            <w:r>
              <w:rPr>
                <w:noProof/>
                <w:webHidden/>
              </w:rPr>
              <w:fldChar w:fldCharType="separate"/>
            </w:r>
            <w:r>
              <w:rPr>
                <w:noProof/>
                <w:webHidden/>
              </w:rPr>
              <w:t>9</w:t>
            </w:r>
            <w:r>
              <w:rPr>
                <w:noProof/>
                <w:webHidden/>
              </w:rPr>
              <w:fldChar w:fldCharType="end"/>
            </w:r>
          </w:hyperlink>
        </w:p>
        <w:p w14:paraId="0507C246" w14:textId="219C4569" w:rsidR="00931100" w:rsidRDefault="00931100" w:rsidP="00931100">
          <w:pPr>
            <w:pStyle w:val="TOC1"/>
            <w:tabs>
              <w:tab w:val="left" w:pos="480"/>
              <w:tab w:val="right" w:leader="dot" w:pos="9628"/>
            </w:tabs>
            <w:rPr>
              <w:rFonts w:asciiTheme="minorHAnsi" w:hAnsiTheme="minorHAnsi"/>
              <w:noProof/>
              <w:kern w:val="2"/>
              <w14:ligatures w14:val="standardContextual"/>
            </w:rPr>
          </w:pPr>
          <w:hyperlink w:anchor="_Toc227434270" w:history="1">
            <w:r w:rsidRPr="006C230E">
              <w:rPr>
                <w:rStyle w:val="Hyperlink"/>
                <w:noProof/>
              </w:rPr>
              <w:t>5</w:t>
            </w:r>
            <w:r>
              <w:rPr>
                <w:rFonts w:asciiTheme="minorHAnsi" w:hAnsiTheme="minorHAnsi"/>
                <w:noProof/>
                <w:kern w:val="2"/>
                <w14:ligatures w14:val="standardContextual"/>
              </w:rPr>
              <w:tab/>
            </w:r>
            <w:r w:rsidRPr="006C230E">
              <w:rPr>
                <w:rStyle w:val="Hyperlink"/>
                <w:noProof/>
              </w:rPr>
              <w:t>Human Resources Feasibility</w:t>
            </w:r>
            <w:r>
              <w:rPr>
                <w:noProof/>
                <w:webHidden/>
              </w:rPr>
              <w:tab/>
            </w:r>
            <w:r>
              <w:rPr>
                <w:noProof/>
                <w:webHidden/>
              </w:rPr>
              <w:fldChar w:fldCharType="begin"/>
            </w:r>
            <w:r>
              <w:rPr>
                <w:noProof/>
                <w:webHidden/>
              </w:rPr>
              <w:instrText xml:space="preserve"> PAGEREF _Toc227434270 \h </w:instrText>
            </w:r>
            <w:r>
              <w:rPr>
                <w:noProof/>
                <w:webHidden/>
              </w:rPr>
            </w:r>
            <w:r>
              <w:rPr>
                <w:noProof/>
                <w:webHidden/>
              </w:rPr>
              <w:fldChar w:fldCharType="separate"/>
            </w:r>
            <w:r>
              <w:rPr>
                <w:noProof/>
                <w:webHidden/>
              </w:rPr>
              <w:t>10</w:t>
            </w:r>
            <w:r>
              <w:rPr>
                <w:noProof/>
                <w:webHidden/>
              </w:rPr>
              <w:fldChar w:fldCharType="end"/>
            </w:r>
          </w:hyperlink>
        </w:p>
        <w:p w14:paraId="15B4ACEE" w14:textId="6A4888EC" w:rsidR="00931100" w:rsidRDefault="00931100" w:rsidP="00931100">
          <w:pPr>
            <w:pStyle w:val="TOC1"/>
            <w:tabs>
              <w:tab w:val="left" w:pos="480"/>
              <w:tab w:val="right" w:leader="dot" w:pos="9628"/>
            </w:tabs>
            <w:rPr>
              <w:rFonts w:asciiTheme="minorHAnsi" w:hAnsiTheme="minorHAnsi"/>
              <w:noProof/>
              <w:kern w:val="2"/>
              <w14:ligatures w14:val="standardContextual"/>
            </w:rPr>
          </w:pPr>
          <w:hyperlink w:anchor="_Toc227434271" w:history="1">
            <w:r w:rsidRPr="006C230E">
              <w:rPr>
                <w:rStyle w:val="Hyperlink"/>
                <w:noProof/>
              </w:rPr>
              <w:t>6</w:t>
            </w:r>
            <w:r>
              <w:rPr>
                <w:rFonts w:asciiTheme="minorHAnsi" w:hAnsiTheme="minorHAnsi"/>
                <w:noProof/>
                <w:kern w:val="2"/>
                <w14:ligatures w14:val="standardContextual"/>
              </w:rPr>
              <w:tab/>
            </w:r>
            <w:r w:rsidRPr="006C230E">
              <w:rPr>
                <w:rStyle w:val="Hyperlink"/>
                <w:noProof/>
              </w:rPr>
              <w:t>Financial Feasibility</w:t>
            </w:r>
            <w:r>
              <w:rPr>
                <w:noProof/>
                <w:webHidden/>
              </w:rPr>
              <w:tab/>
            </w:r>
            <w:r>
              <w:rPr>
                <w:noProof/>
                <w:webHidden/>
              </w:rPr>
              <w:fldChar w:fldCharType="begin"/>
            </w:r>
            <w:r>
              <w:rPr>
                <w:noProof/>
                <w:webHidden/>
              </w:rPr>
              <w:instrText xml:space="preserve"> PAGEREF _Toc227434271 \h </w:instrText>
            </w:r>
            <w:r>
              <w:rPr>
                <w:noProof/>
                <w:webHidden/>
              </w:rPr>
            </w:r>
            <w:r>
              <w:rPr>
                <w:noProof/>
                <w:webHidden/>
              </w:rPr>
              <w:fldChar w:fldCharType="separate"/>
            </w:r>
            <w:r>
              <w:rPr>
                <w:noProof/>
                <w:webHidden/>
              </w:rPr>
              <w:t>12</w:t>
            </w:r>
            <w:r>
              <w:rPr>
                <w:noProof/>
                <w:webHidden/>
              </w:rPr>
              <w:fldChar w:fldCharType="end"/>
            </w:r>
          </w:hyperlink>
        </w:p>
        <w:p w14:paraId="4F5AF476" w14:textId="2047983C" w:rsidR="00931100" w:rsidRDefault="00931100" w:rsidP="00931100">
          <w:pPr>
            <w:pStyle w:val="TOC1"/>
            <w:tabs>
              <w:tab w:val="left" w:pos="480"/>
              <w:tab w:val="right" w:leader="dot" w:pos="9628"/>
            </w:tabs>
            <w:rPr>
              <w:rFonts w:asciiTheme="minorHAnsi" w:hAnsiTheme="minorHAnsi"/>
              <w:noProof/>
              <w:kern w:val="2"/>
              <w14:ligatures w14:val="standardContextual"/>
            </w:rPr>
          </w:pPr>
          <w:hyperlink w:anchor="_Toc227434272" w:history="1">
            <w:r w:rsidRPr="006C230E">
              <w:rPr>
                <w:rStyle w:val="Hyperlink"/>
                <w:noProof/>
              </w:rPr>
              <w:t>7</w:t>
            </w:r>
            <w:r>
              <w:rPr>
                <w:rFonts w:asciiTheme="minorHAnsi" w:hAnsiTheme="minorHAnsi"/>
                <w:noProof/>
                <w:kern w:val="2"/>
                <w14:ligatures w14:val="standardContextual"/>
              </w:rPr>
              <w:tab/>
            </w:r>
            <w:r w:rsidRPr="006C230E">
              <w:rPr>
                <w:rStyle w:val="Hyperlink"/>
                <w:noProof/>
              </w:rPr>
              <w:t>Reasoned Recommendation to Prospective Investor to Proceed</w:t>
            </w:r>
            <w:r>
              <w:rPr>
                <w:noProof/>
                <w:webHidden/>
              </w:rPr>
              <w:tab/>
            </w:r>
            <w:r>
              <w:rPr>
                <w:noProof/>
                <w:webHidden/>
              </w:rPr>
              <w:fldChar w:fldCharType="begin"/>
            </w:r>
            <w:r>
              <w:rPr>
                <w:noProof/>
                <w:webHidden/>
              </w:rPr>
              <w:instrText xml:space="preserve"> PAGEREF _Toc227434272 \h </w:instrText>
            </w:r>
            <w:r>
              <w:rPr>
                <w:noProof/>
                <w:webHidden/>
              </w:rPr>
            </w:r>
            <w:r>
              <w:rPr>
                <w:noProof/>
                <w:webHidden/>
              </w:rPr>
              <w:fldChar w:fldCharType="separate"/>
            </w:r>
            <w:r>
              <w:rPr>
                <w:noProof/>
                <w:webHidden/>
              </w:rPr>
              <w:t>14</w:t>
            </w:r>
            <w:r>
              <w:rPr>
                <w:noProof/>
                <w:webHidden/>
              </w:rPr>
              <w:fldChar w:fldCharType="end"/>
            </w:r>
          </w:hyperlink>
        </w:p>
        <w:p w14:paraId="6F613013" w14:textId="4AB4BA2A" w:rsidR="00931100" w:rsidRDefault="00931100" w:rsidP="00931100">
          <w:pPr>
            <w:pStyle w:val="TOC1"/>
            <w:tabs>
              <w:tab w:val="left" w:pos="480"/>
              <w:tab w:val="right" w:leader="dot" w:pos="9628"/>
            </w:tabs>
            <w:rPr>
              <w:rFonts w:asciiTheme="minorHAnsi" w:hAnsiTheme="minorHAnsi"/>
              <w:noProof/>
              <w:kern w:val="2"/>
              <w14:ligatures w14:val="standardContextual"/>
            </w:rPr>
          </w:pPr>
          <w:hyperlink w:anchor="_Toc227434273" w:history="1">
            <w:r w:rsidRPr="006C230E">
              <w:rPr>
                <w:rStyle w:val="Hyperlink"/>
                <w:noProof/>
              </w:rPr>
              <w:t>8</w:t>
            </w:r>
            <w:r>
              <w:rPr>
                <w:rFonts w:asciiTheme="minorHAnsi" w:hAnsiTheme="minorHAnsi"/>
                <w:noProof/>
                <w:kern w:val="2"/>
                <w14:ligatures w14:val="standardContextual"/>
              </w:rPr>
              <w:tab/>
            </w:r>
            <w:r w:rsidRPr="006C230E">
              <w:rPr>
                <w:rStyle w:val="Hyperlink"/>
                <w:noProof/>
              </w:rPr>
              <w:t>References</w:t>
            </w:r>
            <w:r>
              <w:rPr>
                <w:noProof/>
                <w:webHidden/>
              </w:rPr>
              <w:tab/>
            </w:r>
            <w:r>
              <w:rPr>
                <w:noProof/>
                <w:webHidden/>
              </w:rPr>
              <w:fldChar w:fldCharType="begin"/>
            </w:r>
            <w:r>
              <w:rPr>
                <w:noProof/>
                <w:webHidden/>
              </w:rPr>
              <w:instrText xml:space="preserve"> PAGEREF _Toc227434273 \h </w:instrText>
            </w:r>
            <w:r>
              <w:rPr>
                <w:noProof/>
                <w:webHidden/>
              </w:rPr>
            </w:r>
            <w:r>
              <w:rPr>
                <w:noProof/>
                <w:webHidden/>
              </w:rPr>
              <w:fldChar w:fldCharType="separate"/>
            </w:r>
            <w:r>
              <w:rPr>
                <w:noProof/>
                <w:webHidden/>
              </w:rPr>
              <w:t>15</w:t>
            </w:r>
            <w:r>
              <w:rPr>
                <w:noProof/>
                <w:webHidden/>
              </w:rPr>
              <w:fldChar w:fldCharType="end"/>
            </w:r>
          </w:hyperlink>
        </w:p>
        <w:p w14:paraId="7E7E479A" w14:textId="22F7948D" w:rsidR="00931100" w:rsidRDefault="00931100" w:rsidP="00931100">
          <w:pPr>
            <w:pStyle w:val="TOC1"/>
            <w:tabs>
              <w:tab w:val="left" w:pos="480"/>
              <w:tab w:val="right" w:leader="dot" w:pos="9628"/>
            </w:tabs>
            <w:rPr>
              <w:rFonts w:asciiTheme="minorHAnsi" w:hAnsiTheme="minorHAnsi"/>
              <w:noProof/>
              <w:kern w:val="2"/>
              <w14:ligatures w14:val="standardContextual"/>
            </w:rPr>
          </w:pPr>
          <w:hyperlink w:anchor="_Toc227434274" w:history="1">
            <w:r w:rsidRPr="006C230E">
              <w:rPr>
                <w:rStyle w:val="Hyperlink"/>
                <w:noProof/>
              </w:rPr>
              <w:t>9</w:t>
            </w:r>
            <w:r>
              <w:rPr>
                <w:rFonts w:asciiTheme="minorHAnsi" w:hAnsiTheme="minorHAnsi"/>
                <w:noProof/>
                <w:kern w:val="2"/>
                <w14:ligatures w14:val="standardContextual"/>
              </w:rPr>
              <w:tab/>
            </w:r>
            <w:r w:rsidRPr="006C230E">
              <w:rPr>
                <w:rStyle w:val="Hyperlink"/>
                <w:noProof/>
              </w:rPr>
              <w:t>Appendix A: Business Model Canvas from AT2</w:t>
            </w:r>
            <w:r>
              <w:rPr>
                <w:noProof/>
                <w:webHidden/>
              </w:rPr>
              <w:tab/>
            </w:r>
            <w:r>
              <w:rPr>
                <w:noProof/>
                <w:webHidden/>
              </w:rPr>
              <w:fldChar w:fldCharType="begin"/>
            </w:r>
            <w:r>
              <w:rPr>
                <w:noProof/>
                <w:webHidden/>
              </w:rPr>
              <w:instrText xml:space="preserve"> PAGEREF _Toc227434274 \h </w:instrText>
            </w:r>
            <w:r>
              <w:rPr>
                <w:noProof/>
                <w:webHidden/>
              </w:rPr>
            </w:r>
            <w:r>
              <w:rPr>
                <w:noProof/>
                <w:webHidden/>
              </w:rPr>
              <w:fldChar w:fldCharType="separate"/>
            </w:r>
            <w:r>
              <w:rPr>
                <w:noProof/>
                <w:webHidden/>
              </w:rPr>
              <w:t>17</w:t>
            </w:r>
            <w:r>
              <w:rPr>
                <w:noProof/>
                <w:webHidden/>
              </w:rPr>
              <w:fldChar w:fldCharType="end"/>
            </w:r>
          </w:hyperlink>
        </w:p>
        <w:p w14:paraId="321397BF" w14:textId="4D8DE524" w:rsidR="0048143A" w:rsidRPr="0048143A" w:rsidRDefault="0048143A" w:rsidP="00931100">
          <w:r w:rsidRPr="0048143A">
            <w:rPr>
              <w:noProof/>
            </w:rPr>
            <w:fldChar w:fldCharType="end"/>
          </w:r>
        </w:p>
      </w:sdtContent>
    </w:sdt>
    <w:p w14:paraId="7D3C7044" w14:textId="77777777" w:rsidR="0048143A" w:rsidRDefault="0048143A" w:rsidP="00931100"/>
    <w:p w14:paraId="13FB5FF4" w14:textId="77777777" w:rsidR="00931100" w:rsidRDefault="00931100" w:rsidP="00931100"/>
    <w:p w14:paraId="738F700F" w14:textId="77777777" w:rsidR="00931100" w:rsidRDefault="00931100" w:rsidP="00931100"/>
    <w:p w14:paraId="48B3F174" w14:textId="77777777" w:rsidR="00931100" w:rsidRDefault="00931100" w:rsidP="00931100"/>
    <w:p w14:paraId="1180132D" w14:textId="77777777" w:rsidR="00931100" w:rsidRDefault="00931100" w:rsidP="00931100"/>
    <w:p w14:paraId="071E94BE" w14:textId="77777777" w:rsidR="00931100" w:rsidRDefault="00931100" w:rsidP="00931100"/>
    <w:p w14:paraId="5A46C1D3" w14:textId="77777777" w:rsidR="00931100" w:rsidRDefault="00931100" w:rsidP="00931100"/>
    <w:p w14:paraId="1017D224" w14:textId="77777777" w:rsidR="00931100" w:rsidRDefault="00931100" w:rsidP="00931100"/>
    <w:p w14:paraId="55EB103B" w14:textId="77777777" w:rsidR="00931100" w:rsidRPr="0048143A" w:rsidRDefault="00931100" w:rsidP="00931100"/>
    <w:p w14:paraId="12A0BDFF" w14:textId="77777777" w:rsidR="00875241" w:rsidRPr="00931100" w:rsidRDefault="00000000" w:rsidP="00931100">
      <w:pPr>
        <w:pStyle w:val="Heading1"/>
      </w:pPr>
      <w:bookmarkStart w:id="1" w:name="_Toc227434266"/>
      <w:r w:rsidRPr="00931100">
        <w:lastRenderedPageBreak/>
        <w:t>Introduction</w:t>
      </w:r>
      <w:bookmarkEnd w:id="1"/>
    </w:p>
    <w:p w14:paraId="0D27E50F" w14:textId="77777777" w:rsidR="00E73795" w:rsidRPr="00931100" w:rsidRDefault="00E73795" w:rsidP="00931100">
      <w:proofErr w:type="spellStart"/>
      <w:r w:rsidRPr="00931100">
        <w:t>FoodLink</w:t>
      </w:r>
      <w:proofErr w:type="spellEnd"/>
      <w:r w:rsidRPr="00931100">
        <w:t xml:space="preserve"> Australia is a redistribution project which is a sustainable food redistribution project based on AT2 presentation. The idea behind it is straightforward: vendors post their excess food in real-time and consumers purchase it at a dynamic discount using the app and the unsold, safe food could be given to charities through partnership agreements. The venture is a solution to a two-fold challenge highlighted in AT2: edible food is wasted whereas a large proportion of households in Australia are under pressure on the cost of living.</w:t>
      </w:r>
    </w:p>
    <w:p w14:paraId="517B1386" w14:textId="1B7C829C" w:rsidR="00931100" w:rsidRDefault="00E73795" w:rsidP="00931100">
      <w:r w:rsidRPr="0048143A">
        <w:t>The concept is also applicable to the entrepreneurship concepts learned in the course. It is a social entrepreneurship in the sense that it builds economic value, environmental value, and community value simultaneously, and it is a design thinking and lean start-up way of doing things, where founders experiment with user pain points, test hypotheses and refine an MVP, and then scale (Brown and Wyatt, 2010; Ries, 2011). This report builds up the concept into a business plan through an explanation of the Business Model Canvas and then an evaluation of operations and technology, market, human resources and financial viability and finally gives a recommendation to a potential investor.</w:t>
      </w:r>
    </w:p>
    <w:p w14:paraId="5CFB4516" w14:textId="77777777" w:rsidR="00931100" w:rsidRPr="0048143A" w:rsidRDefault="00931100" w:rsidP="00931100"/>
    <w:p w14:paraId="1FDF845D" w14:textId="77777777" w:rsidR="00875241" w:rsidRPr="0048143A" w:rsidRDefault="00000000" w:rsidP="00931100">
      <w:pPr>
        <w:pStyle w:val="Heading1"/>
      </w:pPr>
      <w:bookmarkStart w:id="2" w:name="_Toc227434267"/>
      <w:r w:rsidRPr="0048143A">
        <w:t>Business Model Canvas</w:t>
      </w:r>
      <w:bookmarkEnd w:id="2"/>
    </w:p>
    <w:p w14:paraId="78A3E7D7" w14:textId="179720FF" w:rsidR="005D0194" w:rsidRPr="0048143A" w:rsidRDefault="001041EF" w:rsidP="00931100">
      <w:r w:rsidRPr="0048143A">
        <w:t xml:space="preserve">The AT2 Business Model Canvas gives the strategic rationale of how </w:t>
      </w:r>
      <w:proofErr w:type="spellStart"/>
      <w:r w:rsidRPr="0048143A">
        <w:t>FoodLink</w:t>
      </w:r>
      <w:proofErr w:type="spellEnd"/>
      <w:r w:rsidRPr="0048143A">
        <w:t xml:space="preserve"> creates, delivers and captures value. As per the model by Osterwalder and Pigneur (2010), the key elements can be </w:t>
      </w:r>
      <w:proofErr w:type="spellStart"/>
      <w:r w:rsidRPr="0048143A">
        <w:t>summarised</w:t>
      </w:r>
      <w:proofErr w:type="spellEnd"/>
      <w:r w:rsidRPr="0048143A">
        <w:t xml:space="preserve"> in Table 1 and the entire visual canvas of the presentation can be seen in Appendix A.</w:t>
      </w:r>
    </w:p>
    <w:p w14:paraId="4CA7A9C1" w14:textId="30066B9E" w:rsidR="00931100" w:rsidRPr="00931100" w:rsidRDefault="00931100" w:rsidP="00931100">
      <w:pPr>
        <w:pStyle w:val="Caption"/>
        <w:keepNext/>
        <w:spacing w:line="480" w:lineRule="auto"/>
        <w:rPr>
          <w:color w:val="auto"/>
        </w:rPr>
      </w:pPr>
      <w:r w:rsidRPr="00931100">
        <w:rPr>
          <w:color w:val="auto"/>
        </w:rPr>
        <w:t xml:space="preserve">Table </w:t>
      </w:r>
      <w:r w:rsidRPr="00931100">
        <w:rPr>
          <w:color w:val="auto"/>
        </w:rPr>
        <w:fldChar w:fldCharType="begin"/>
      </w:r>
      <w:r w:rsidRPr="00931100">
        <w:rPr>
          <w:color w:val="auto"/>
        </w:rPr>
        <w:instrText xml:space="preserve"> SEQ Table \* ARABIC </w:instrText>
      </w:r>
      <w:r w:rsidRPr="00931100">
        <w:rPr>
          <w:color w:val="auto"/>
        </w:rPr>
        <w:fldChar w:fldCharType="separate"/>
      </w:r>
      <w:r>
        <w:rPr>
          <w:noProof/>
          <w:color w:val="auto"/>
        </w:rPr>
        <w:t>1</w:t>
      </w:r>
      <w:r w:rsidRPr="00931100">
        <w:rPr>
          <w:color w:val="auto"/>
        </w:rPr>
        <w:fldChar w:fldCharType="end"/>
      </w:r>
      <w:r w:rsidRPr="00931100">
        <w:rPr>
          <w:color w:val="auto"/>
        </w:rPr>
        <w:t xml:space="preserve"> Summary of the </w:t>
      </w:r>
      <w:proofErr w:type="spellStart"/>
      <w:r w:rsidRPr="00931100">
        <w:rPr>
          <w:color w:val="auto"/>
        </w:rPr>
        <w:t>FoodLink</w:t>
      </w:r>
      <w:proofErr w:type="spellEnd"/>
      <w:r w:rsidRPr="00931100">
        <w:rPr>
          <w:color w:val="auto"/>
        </w:rPr>
        <w:t xml:space="preserve"> Australia Business Model Canvas</w:t>
      </w:r>
    </w:p>
    <w:tbl>
      <w:tblPr>
        <w:tblW w:w="9037" w:type="dxa"/>
        <w:jc w:val="center"/>
        <w:tblBorders>
          <w:top w:val="single" w:sz="6" w:space="0" w:color="C8D8C8"/>
          <w:left w:val="single" w:sz="6" w:space="0" w:color="C8D8C8"/>
          <w:bottom w:val="single" w:sz="6" w:space="0" w:color="C8D8C8"/>
          <w:right w:val="single" w:sz="6" w:space="0" w:color="C8D8C8"/>
          <w:insideH w:val="single" w:sz="6" w:space="0" w:color="C8D8C8"/>
          <w:insideV w:val="single" w:sz="6" w:space="0" w:color="C8D8C8"/>
        </w:tblBorders>
        <w:tblLayout w:type="fixed"/>
        <w:tblLook w:val="04A0" w:firstRow="1" w:lastRow="0" w:firstColumn="1" w:lastColumn="0" w:noHBand="0" w:noVBand="1"/>
      </w:tblPr>
      <w:tblGrid>
        <w:gridCol w:w="3844"/>
        <w:gridCol w:w="5193"/>
      </w:tblGrid>
      <w:tr w:rsidR="0048143A" w:rsidRPr="0048143A" w14:paraId="064F6883" w14:textId="77777777" w:rsidTr="0048143A">
        <w:trPr>
          <w:jc w:val="center"/>
        </w:trPr>
        <w:tc>
          <w:tcPr>
            <w:tcW w:w="3844" w:type="dxa"/>
            <w:shd w:val="clear" w:color="auto" w:fill="DDEFE4"/>
            <w:tcMar>
              <w:top w:w="90" w:type="dxa"/>
              <w:left w:w="120" w:type="dxa"/>
              <w:bottom w:w="90" w:type="dxa"/>
              <w:right w:w="120" w:type="dxa"/>
            </w:tcMar>
            <w:vAlign w:val="center"/>
          </w:tcPr>
          <w:p w14:paraId="789B91F2" w14:textId="77777777" w:rsidR="00875241" w:rsidRPr="0048143A" w:rsidRDefault="00000000" w:rsidP="00931100">
            <w:r w:rsidRPr="0048143A">
              <w:t>Component</w:t>
            </w:r>
          </w:p>
        </w:tc>
        <w:tc>
          <w:tcPr>
            <w:tcW w:w="5193" w:type="dxa"/>
            <w:shd w:val="clear" w:color="auto" w:fill="DDEFE4"/>
            <w:tcMar>
              <w:top w:w="90" w:type="dxa"/>
              <w:left w:w="120" w:type="dxa"/>
              <w:bottom w:w="90" w:type="dxa"/>
              <w:right w:w="120" w:type="dxa"/>
            </w:tcMar>
            <w:vAlign w:val="center"/>
          </w:tcPr>
          <w:p w14:paraId="033AEAD4" w14:textId="77777777" w:rsidR="00875241" w:rsidRPr="0048143A" w:rsidRDefault="00000000" w:rsidP="00931100">
            <w:proofErr w:type="spellStart"/>
            <w:r w:rsidRPr="0048143A">
              <w:t>FoodLink</w:t>
            </w:r>
            <w:proofErr w:type="spellEnd"/>
            <w:r w:rsidRPr="0048143A">
              <w:t xml:space="preserve"> Australia</w:t>
            </w:r>
          </w:p>
        </w:tc>
      </w:tr>
      <w:tr w:rsidR="0048143A" w:rsidRPr="0048143A" w14:paraId="572E29B0" w14:textId="77777777" w:rsidTr="0048143A">
        <w:trPr>
          <w:jc w:val="center"/>
        </w:trPr>
        <w:tc>
          <w:tcPr>
            <w:tcW w:w="3844" w:type="dxa"/>
            <w:tcMar>
              <w:top w:w="90" w:type="dxa"/>
              <w:left w:w="110" w:type="dxa"/>
              <w:bottom w:w="90" w:type="dxa"/>
              <w:right w:w="110" w:type="dxa"/>
            </w:tcMar>
            <w:vAlign w:val="center"/>
          </w:tcPr>
          <w:p w14:paraId="2F69247D" w14:textId="77777777" w:rsidR="00875241" w:rsidRPr="0048143A" w:rsidRDefault="00000000" w:rsidP="00931100">
            <w:r w:rsidRPr="0048143A">
              <w:lastRenderedPageBreak/>
              <w:t>Customer segments</w:t>
            </w:r>
          </w:p>
        </w:tc>
        <w:tc>
          <w:tcPr>
            <w:tcW w:w="5193" w:type="dxa"/>
            <w:tcMar>
              <w:top w:w="90" w:type="dxa"/>
              <w:left w:w="110" w:type="dxa"/>
              <w:bottom w:w="90" w:type="dxa"/>
              <w:right w:w="110" w:type="dxa"/>
            </w:tcMar>
            <w:vAlign w:val="center"/>
          </w:tcPr>
          <w:p w14:paraId="6FA9910A" w14:textId="304C8F37" w:rsidR="00875241" w:rsidRPr="0048143A" w:rsidRDefault="00EE4D65" w:rsidP="00931100">
            <w:proofErr w:type="spellStart"/>
            <w:r w:rsidRPr="0048143A">
              <w:t>FoodLink</w:t>
            </w:r>
            <w:proofErr w:type="spellEnd"/>
            <w:r w:rsidRPr="0048143A">
              <w:t xml:space="preserve"> has four related groups to AT2: Low-end consumers, green consumers, urban shoppers in Sydney and Melbourne, and local charities. During the launch stage, the key paying users are expected to be price-sensitive urban consumers and students whereas charities are mostly impact partners.</w:t>
            </w:r>
          </w:p>
        </w:tc>
      </w:tr>
      <w:tr w:rsidR="0048143A" w:rsidRPr="0048143A" w14:paraId="7D3E8D27" w14:textId="77777777" w:rsidTr="0048143A">
        <w:trPr>
          <w:jc w:val="center"/>
        </w:trPr>
        <w:tc>
          <w:tcPr>
            <w:tcW w:w="3844" w:type="dxa"/>
            <w:tcMar>
              <w:top w:w="90" w:type="dxa"/>
              <w:left w:w="110" w:type="dxa"/>
              <w:bottom w:w="90" w:type="dxa"/>
              <w:right w:w="110" w:type="dxa"/>
            </w:tcMar>
            <w:vAlign w:val="center"/>
          </w:tcPr>
          <w:p w14:paraId="210224EC" w14:textId="77777777" w:rsidR="00875241" w:rsidRPr="0048143A" w:rsidRDefault="00000000" w:rsidP="00931100">
            <w:r w:rsidRPr="0048143A">
              <w:t>Value proposition</w:t>
            </w:r>
          </w:p>
        </w:tc>
        <w:tc>
          <w:tcPr>
            <w:tcW w:w="5193" w:type="dxa"/>
            <w:tcMar>
              <w:top w:w="90" w:type="dxa"/>
              <w:left w:w="110" w:type="dxa"/>
              <w:bottom w:w="90" w:type="dxa"/>
              <w:right w:w="110" w:type="dxa"/>
            </w:tcMar>
            <w:vAlign w:val="center"/>
          </w:tcPr>
          <w:p w14:paraId="6A4F3F5C" w14:textId="44743842" w:rsidR="00875241" w:rsidRPr="0048143A" w:rsidRDefault="00565A90" w:rsidP="00931100">
            <w:r w:rsidRPr="0048143A">
              <w:t>It is based on the main idea of affordable surplus food in real-time, which is offered by dynamic discounting. Two wider types of value are found in AT2 which reinforce this: waste minimization on the part of vendors and more emission-reducing redistribution that enhances access to cheap food.</w:t>
            </w:r>
          </w:p>
        </w:tc>
      </w:tr>
      <w:tr w:rsidR="0048143A" w:rsidRPr="0048143A" w14:paraId="1DF00591" w14:textId="77777777" w:rsidTr="0048143A">
        <w:trPr>
          <w:jc w:val="center"/>
        </w:trPr>
        <w:tc>
          <w:tcPr>
            <w:tcW w:w="3844" w:type="dxa"/>
            <w:tcMar>
              <w:top w:w="90" w:type="dxa"/>
              <w:left w:w="110" w:type="dxa"/>
              <w:bottom w:w="90" w:type="dxa"/>
              <w:right w:w="110" w:type="dxa"/>
            </w:tcMar>
            <w:vAlign w:val="center"/>
          </w:tcPr>
          <w:p w14:paraId="63B9FE1D" w14:textId="77777777" w:rsidR="00875241" w:rsidRPr="0048143A" w:rsidRDefault="00000000" w:rsidP="00931100">
            <w:r w:rsidRPr="0048143A">
              <w:t>Customer relationships</w:t>
            </w:r>
          </w:p>
        </w:tc>
        <w:tc>
          <w:tcPr>
            <w:tcW w:w="5193" w:type="dxa"/>
            <w:tcMar>
              <w:top w:w="90" w:type="dxa"/>
              <w:left w:w="110" w:type="dxa"/>
              <w:bottom w:w="90" w:type="dxa"/>
              <w:right w:w="110" w:type="dxa"/>
            </w:tcMar>
            <w:vAlign w:val="center"/>
          </w:tcPr>
          <w:p w14:paraId="71567C6B" w14:textId="163C8935" w:rsidR="00875241" w:rsidRPr="0048143A" w:rsidRDefault="00FA3E34" w:rsidP="00931100">
            <w:r w:rsidRPr="0048143A">
              <w:t xml:space="preserve">The relationships with customers are founded on app-based self-service, </w:t>
            </w:r>
            <w:proofErr w:type="spellStart"/>
            <w:r w:rsidRPr="0048143A">
              <w:t>personalised</w:t>
            </w:r>
            <w:proofErr w:type="spellEnd"/>
            <w:r w:rsidRPr="0048143A">
              <w:t xml:space="preserve"> notifications and straightforward flows of transactions, whereas with the vendors, they need to be more practical. Onboarding will be required in restaurants, cafes and supermarkets in case they want to use </w:t>
            </w:r>
            <w:proofErr w:type="spellStart"/>
            <w:r w:rsidRPr="0048143A">
              <w:t>FoodLink</w:t>
            </w:r>
            <w:proofErr w:type="spellEnd"/>
            <w:r w:rsidRPr="0048143A">
              <w:t xml:space="preserve"> to be an operational solution.</w:t>
            </w:r>
          </w:p>
        </w:tc>
      </w:tr>
      <w:tr w:rsidR="0048143A" w:rsidRPr="0048143A" w14:paraId="1448A300" w14:textId="77777777" w:rsidTr="0048143A">
        <w:trPr>
          <w:jc w:val="center"/>
        </w:trPr>
        <w:tc>
          <w:tcPr>
            <w:tcW w:w="3844" w:type="dxa"/>
            <w:tcMar>
              <w:top w:w="90" w:type="dxa"/>
              <w:left w:w="110" w:type="dxa"/>
              <w:bottom w:w="90" w:type="dxa"/>
              <w:right w:w="110" w:type="dxa"/>
            </w:tcMar>
            <w:vAlign w:val="center"/>
          </w:tcPr>
          <w:p w14:paraId="1C124659" w14:textId="77777777" w:rsidR="00875241" w:rsidRPr="0048143A" w:rsidRDefault="00000000" w:rsidP="00931100">
            <w:r w:rsidRPr="0048143A">
              <w:t>Channels</w:t>
            </w:r>
          </w:p>
        </w:tc>
        <w:tc>
          <w:tcPr>
            <w:tcW w:w="5193" w:type="dxa"/>
            <w:tcMar>
              <w:top w:w="90" w:type="dxa"/>
              <w:left w:w="110" w:type="dxa"/>
              <w:bottom w:w="90" w:type="dxa"/>
              <w:right w:w="110" w:type="dxa"/>
            </w:tcMar>
            <w:vAlign w:val="center"/>
          </w:tcPr>
          <w:p w14:paraId="0421806E" w14:textId="0C846909" w:rsidR="00875241" w:rsidRPr="0048143A" w:rsidRDefault="002F0BBC" w:rsidP="00931100">
            <w:r w:rsidRPr="0048143A">
              <w:t xml:space="preserve">The main one is the mobile application since the service relies on speed, location and repeat notifications. User acquisition is facilitated by social </w:t>
            </w:r>
            <w:r w:rsidRPr="0048143A">
              <w:lastRenderedPageBreak/>
              <w:t>media, community outreach and eco-influencer activity, and the primary channel of vendor-acquisition during the early stage is the local partnership selling.</w:t>
            </w:r>
          </w:p>
        </w:tc>
      </w:tr>
      <w:tr w:rsidR="0048143A" w:rsidRPr="0048143A" w14:paraId="3A7C2721" w14:textId="77777777" w:rsidTr="0048143A">
        <w:trPr>
          <w:jc w:val="center"/>
        </w:trPr>
        <w:tc>
          <w:tcPr>
            <w:tcW w:w="3844" w:type="dxa"/>
            <w:tcMar>
              <w:top w:w="90" w:type="dxa"/>
              <w:left w:w="110" w:type="dxa"/>
              <w:bottom w:w="90" w:type="dxa"/>
              <w:right w:w="110" w:type="dxa"/>
            </w:tcMar>
            <w:vAlign w:val="center"/>
          </w:tcPr>
          <w:p w14:paraId="41A202D4" w14:textId="77777777" w:rsidR="00875241" w:rsidRPr="0048143A" w:rsidRDefault="00000000" w:rsidP="00931100">
            <w:r w:rsidRPr="0048143A">
              <w:t>Key activities</w:t>
            </w:r>
          </w:p>
        </w:tc>
        <w:tc>
          <w:tcPr>
            <w:tcW w:w="5193" w:type="dxa"/>
            <w:tcMar>
              <w:top w:w="90" w:type="dxa"/>
              <w:left w:w="110" w:type="dxa"/>
              <w:bottom w:w="90" w:type="dxa"/>
              <w:right w:w="110" w:type="dxa"/>
            </w:tcMar>
            <w:vAlign w:val="center"/>
          </w:tcPr>
          <w:p w14:paraId="7F5351F5" w14:textId="25C02D98" w:rsidR="00875241" w:rsidRPr="0048143A" w:rsidRDefault="00930B6A" w:rsidP="00931100">
            <w:r w:rsidRPr="0048143A">
              <w:t xml:space="preserve">The app maintenance, vendor onboarding, food listing quality control, real-time notifications, customer support, marketing and data analytics are the most significant activities. During the pilot phase, software reliability should be of particular concern to </w:t>
            </w:r>
            <w:proofErr w:type="spellStart"/>
            <w:r w:rsidRPr="0048143A">
              <w:t>FoodLink</w:t>
            </w:r>
            <w:proofErr w:type="spellEnd"/>
            <w:r w:rsidRPr="0048143A">
              <w:t xml:space="preserve"> with accuracy of listing and the density of vendors being </w:t>
            </w:r>
            <w:proofErr w:type="spellStart"/>
            <w:r w:rsidRPr="0048143A">
              <w:t>neighbourhood</w:t>
            </w:r>
            <w:proofErr w:type="spellEnd"/>
            <w:r w:rsidRPr="0048143A">
              <w:t>-specific.</w:t>
            </w:r>
          </w:p>
        </w:tc>
      </w:tr>
      <w:tr w:rsidR="0048143A" w:rsidRPr="0048143A" w14:paraId="4B32908B" w14:textId="77777777" w:rsidTr="0048143A">
        <w:trPr>
          <w:jc w:val="center"/>
        </w:trPr>
        <w:tc>
          <w:tcPr>
            <w:tcW w:w="3844" w:type="dxa"/>
            <w:tcMar>
              <w:top w:w="90" w:type="dxa"/>
              <w:left w:w="110" w:type="dxa"/>
              <w:bottom w:w="90" w:type="dxa"/>
              <w:right w:w="110" w:type="dxa"/>
            </w:tcMar>
            <w:vAlign w:val="center"/>
          </w:tcPr>
          <w:p w14:paraId="47F5F1E2" w14:textId="77777777" w:rsidR="00875241" w:rsidRPr="0048143A" w:rsidRDefault="00000000" w:rsidP="00931100">
            <w:r w:rsidRPr="0048143A">
              <w:t>Key resources</w:t>
            </w:r>
          </w:p>
        </w:tc>
        <w:tc>
          <w:tcPr>
            <w:tcW w:w="5193" w:type="dxa"/>
            <w:tcMar>
              <w:top w:w="90" w:type="dxa"/>
              <w:left w:w="110" w:type="dxa"/>
              <w:bottom w:w="90" w:type="dxa"/>
              <w:right w:w="110" w:type="dxa"/>
            </w:tcMar>
            <w:vAlign w:val="center"/>
          </w:tcPr>
          <w:p w14:paraId="414D3D39" w14:textId="5B90EC37" w:rsidR="00875241" w:rsidRPr="0048143A" w:rsidRDefault="00613B67" w:rsidP="00931100">
            <w:r w:rsidRPr="0048143A">
              <w:t>The software platform, geolocation tools, payment integration, analytics capability, brand trust and the skills of the founders are considered to be important resources. The most justifiable assets are not the physical property but the relations, information, routine operations and familiar brand that is linked with value and responsible consumption.</w:t>
            </w:r>
          </w:p>
        </w:tc>
      </w:tr>
      <w:tr w:rsidR="0048143A" w:rsidRPr="0048143A" w14:paraId="0B0FE786" w14:textId="77777777" w:rsidTr="0048143A">
        <w:trPr>
          <w:jc w:val="center"/>
        </w:trPr>
        <w:tc>
          <w:tcPr>
            <w:tcW w:w="3844" w:type="dxa"/>
            <w:tcMar>
              <w:top w:w="90" w:type="dxa"/>
              <w:left w:w="110" w:type="dxa"/>
              <w:bottom w:w="90" w:type="dxa"/>
              <w:right w:w="110" w:type="dxa"/>
            </w:tcMar>
            <w:vAlign w:val="center"/>
          </w:tcPr>
          <w:p w14:paraId="6DE0005B" w14:textId="77777777" w:rsidR="00875241" w:rsidRPr="0048143A" w:rsidRDefault="00000000" w:rsidP="00931100">
            <w:r w:rsidRPr="0048143A">
              <w:t>Key partners</w:t>
            </w:r>
          </w:p>
        </w:tc>
        <w:tc>
          <w:tcPr>
            <w:tcW w:w="5193" w:type="dxa"/>
            <w:tcMar>
              <w:top w:w="90" w:type="dxa"/>
              <w:left w:w="110" w:type="dxa"/>
              <w:bottom w:w="90" w:type="dxa"/>
              <w:right w:w="110" w:type="dxa"/>
            </w:tcMar>
            <w:vAlign w:val="center"/>
          </w:tcPr>
          <w:p w14:paraId="457A976C" w14:textId="1A913668" w:rsidR="00875241" w:rsidRPr="0048143A" w:rsidRDefault="001807C3" w:rsidP="00931100">
            <w:r w:rsidRPr="0048143A">
              <w:t xml:space="preserve">The most important partners will be restaurants, cafes, supermarkets, charity </w:t>
            </w:r>
            <w:proofErr w:type="spellStart"/>
            <w:r w:rsidRPr="0048143A">
              <w:t>organisations</w:t>
            </w:r>
            <w:proofErr w:type="spellEnd"/>
            <w:r w:rsidRPr="0048143A">
              <w:t xml:space="preserve">, payment providers, eco-influencers and investors. </w:t>
            </w:r>
            <w:r w:rsidRPr="0048143A">
              <w:lastRenderedPageBreak/>
              <w:t>These collaborations are important since Foodlink is a two-way street: without stockpiles of vendors there will be no consumer value and without credible community partners the social-impact offer will fail.</w:t>
            </w:r>
          </w:p>
        </w:tc>
      </w:tr>
      <w:tr w:rsidR="0048143A" w:rsidRPr="0048143A" w14:paraId="6F0AF15F" w14:textId="77777777" w:rsidTr="0048143A">
        <w:trPr>
          <w:jc w:val="center"/>
        </w:trPr>
        <w:tc>
          <w:tcPr>
            <w:tcW w:w="3844" w:type="dxa"/>
            <w:tcMar>
              <w:top w:w="90" w:type="dxa"/>
              <w:left w:w="110" w:type="dxa"/>
              <w:bottom w:w="90" w:type="dxa"/>
              <w:right w:w="110" w:type="dxa"/>
            </w:tcMar>
            <w:vAlign w:val="center"/>
          </w:tcPr>
          <w:p w14:paraId="7C31B89F" w14:textId="77777777" w:rsidR="00875241" w:rsidRPr="0048143A" w:rsidRDefault="00000000" w:rsidP="00931100">
            <w:r w:rsidRPr="0048143A">
              <w:t>Revenue structure</w:t>
            </w:r>
          </w:p>
        </w:tc>
        <w:tc>
          <w:tcPr>
            <w:tcW w:w="5193" w:type="dxa"/>
            <w:tcMar>
              <w:top w:w="90" w:type="dxa"/>
              <w:left w:w="110" w:type="dxa"/>
              <w:bottom w:w="90" w:type="dxa"/>
              <w:right w:w="110" w:type="dxa"/>
            </w:tcMar>
            <w:vAlign w:val="center"/>
          </w:tcPr>
          <w:p w14:paraId="1A84ADC4" w14:textId="05285EDF" w:rsidR="00875241" w:rsidRPr="0048143A" w:rsidRDefault="002325DE" w:rsidP="00931100">
            <w:r w:rsidRPr="0048143A">
              <w:t>Transaction commissions and vendor subscriptions are the most plausible operating revenues, with premium analytics being added subsequently to bigger partners. The AT2 reference to strategic investment should be considered a financing and not income, as equity capital initiates the business but it is not a part of the sales revenue that is recurrent.</w:t>
            </w:r>
          </w:p>
        </w:tc>
      </w:tr>
      <w:tr w:rsidR="0048143A" w:rsidRPr="0048143A" w14:paraId="6C959568" w14:textId="77777777" w:rsidTr="0048143A">
        <w:trPr>
          <w:jc w:val="center"/>
        </w:trPr>
        <w:tc>
          <w:tcPr>
            <w:tcW w:w="3844" w:type="dxa"/>
            <w:tcMar>
              <w:top w:w="90" w:type="dxa"/>
              <w:left w:w="110" w:type="dxa"/>
              <w:bottom w:w="90" w:type="dxa"/>
              <w:right w:w="110" w:type="dxa"/>
            </w:tcMar>
            <w:vAlign w:val="center"/>
          </w:tcPr>
          <w:p w14:paraId="11DABA0F" w14:textId="77777777" w:rsidR="00875241" w:rsidRPr="0048143A" w:rsidRDefault="00000000" w:rsidP="00931100">
            <w:r w:rsidRPr="0048143A">
              <w:t>Cost structure</w:t>
            </w:r>
          </w:p>
        </w:tc>
        <w:tc>
          <w:tcPr>
            <w:tcW w:w="5193" w:type="dxa"/>
            <w:tcMar>
              <w:top w:w="90" w:type="dxa"/>
              <w:left w:w="110" w:type="dxa"/>
              <w:bottom w:w="90" w:type="dxa"/>
              <w:right w:w="110" w:type="dxa"/>
            </w:tcMar>
            <w:vAlign w:val="center"/>
          </w:tcPr>
          <w:p w14:paraId="0F207E2F" w14:textId="26736E75" w:rsidR="00875241" w:rsidRPr="0048143A" w:rsidRDefault="00C861D8" w:rsidP="00931100">
            <w:r w:rsidRPr="0048143A">
              <w:t>The starting cost base is AT2: app development, marketing and operations cost $40,000. In addition, after launch, the software maintenance, cloud hosting, customer support, payment fees, compliance, vendor acquisition and a small administrative overhead, as opposed to the heavy logistics assets, are the major ongoing expenses.</w:t>
            </w:r>
          </w:p>
        </w:tc>
      </w:tr>
    </w:tbl>
    <w:p w14:paraId="4191A9CC" w14:textId="77777777" w:rsidR="00875241" w:rsidRPr="0048143A" w:rsidRDefault="00875241" w:rsidP="00931100"/>
    <w:p w14:paraId="0C2BCA0F" w14:textId="77777777" w:rsidR="00875241" w:rsidRPr="0048143A" w:rsidRDefault="00000000" w:rsidP="00931100">
      <w:pPr>
        <w:pStyle w:val="Heading1"/>
      </w:pPr>
      <w:bookmarkStart w:id="3" w:name="_Toc227434268"/>
      <w:r w:rsidRPr="0048143A">
        <w:lastRenderedPageBreak/>
        <w:t>Operations and Technology Feasibility</w:t>
      </w:r>
      <w:bookmarkEnd w:id="3"/>
    </w:p>
    <w:p w14:paraId="33A81002" w14:textId="77777777" w:rsidR="003A0B84" w:rsidRPr="0048143A" w:rsidRDefault="003A0B84" w:rsidP="00931100">
      <w:r w:rsidRPr="0048143A">
        <w:t xml:space="preserve">Its operations and technology feasibility is best when </w:t>
      </w:r>
      <w:proofErr w:type="spellStart"/>
      <w:r w:rsidRPr="0048143A">
        <w:t>FoodLink</w:t>
      </w:r>
      <w:proofErr w:type="spellEnd"/>
      <w:r w:rsidRPr="0048143A">
        <w:t xml:space="preserve"> is initially launched as an asset-light platform as opposed to full logistics business. The most common technology decisions are off-the-shelf software, in-house development, outsourced development or a combination of the two. The complete in-house construction would provide control and is impractical at concept stage. An off-the-shelf product would cut costs but perhaps restrict the geolocation, dynamic pricing and vendor dashboard functionality which is at the heart of the AT2 concept. The best possible path is thus a hybrid MVP: get the first app build done by a specialist developer, but retain ownership of the product, feature priorities and testing alongside the founders. This maintains early capital utilization tamed and meets lean start-up reasoning (Ries, 2011).</w:t>
      </w:r>
    </w:p>
    <w:p w14:paraId="517AE4E2" w14:textId="77777777" w:rsidR="003A0B84" w:rsidRPr="0048143A" w:rsidRDefault="003A0B84" w:rsidP="00931100">
      <w:r w:rsidRPr="0048143A">
        <w:t xml:space="preserve">The service-production model will also be expected to be simple. The former stage involves vendors sorting and posting surplus items, consumers picking them up in person, and charities only get appropriate unsold goods via scheduled partnership agreements. This saves the expense, timing risk and legal tangle of operating a delivery fleet prematurely. Last-mile delivery may be subcontracted to third-party couriers later, in case there is high demand. At its launch, </w:t>
      </w:r>
      <w:proofErr w:type="spellStart"/>
      <w:r w:rsidRPr="0048143A">
        <w:t>FoodLink</w:t>
      </w:r>
      <w:proofErr w:type="spellEnd"/>
      <w:r w:rsidRPr="0048143A">
        <w:t xml:space="preserve"> ought to organize value as opposed to owning transport.</w:t>
      </w:r>
    </w:p>
    <w:p w14:paraId="72AB88DE" w14:textId="77777777" w:rsidR="003A0B84" w:rsidRPr="0048143A" w:rsidRDefault="003A0B84" w:rsidP="00931100">
      <w:r w:rsidRPr="0048143A">
        <w:t xml:space="preserve">Sales and distribution: Sales and distribution must be mainly in-house using the app. Direct vendor onboarding, local account management and digital marketing are more applicable than wholesale, licensing or franchise models in the initial phase since </w:t>
      </w:r>
      <w:proofErr w:type="spellStart"/>
      <w:r w:rsidRPr="0048143A">
        <w:t>FoodLink</w:t>
      </w:r>
      <w:proofErr w:type="spellEnd"/>
      <w:r w:rsidRPr="0048143A">
        <w:t xml:space="preserve"> needs to manage user experience, logic of pricing and data. The resources needed in the venture will be the software development, hosting of the app, payment infrastructure, onboarding capability, food safety procedures, customer support and legal documentation. A few of these capabilities will be within the founding team, whereas technical build, accounting and contract drafting will require external assistance.</w:t>
      </w:r>
    </w:p>
    <w:p w14:paraId="37B3BE2F" w14:textId="39AE9387" w:rsidR="003A0B84" w:rsidRDefault="003A0B84" w:rsidP="00931100">
      <w:r w:rsidRPr="0048143A">
        <w:lastRenderedPageBreak/>
        <w:t xml:space="preserve">Regulatory and ethical feasibility can be dealt with but it cannot be taken lightly. According to Food Standards Australia New Zealand, food safety standards demand the production of food that is safe to eat and suitable to eat by the food business and Standard 3.2.2 deals with the receipt, storage, display, packaging, transport and recall (Food Standards Australia New Zealand [FSANZ], 2025a, 2025b). It means that </w:t>
      </w:r>
      <w:proofErr w:type="spellStart"/>
      <w:r w:rsidRPr="0048143A">
        <w:t>FoodLink</w:t>
      </w:r>
      <w:proofErr w:type="spellEnd"/>
      <w:r w:rsidRPr="0048143A">
        <w:t xml:space="preserve"> needs to refer to understandable terms of the vendor, enumerating guidelines and procedures of complaints. Another concern is data protection as the app deals with user, location and payment data. This means that the venture must adhere to Privacy Act, Australian Privacy Principles and expectations of data breach response at the beginning, prior to scale increasing its </w:t>
      </w:r>
      <w:proofErr w:type="spellStart"/>
      <w:r w:rsidRPr="0048143A">
        <w:t>formalisation</w:t>
      </w:r>
      <w:proofErr w:type="spellEnd"/>
      <w:r w:rsidRPr="0048143A">
        <w:t xml:space="preserve"> to compliance (Office of the Australian Information Commissioner [OAIC], n.d., 2024). The primary ethical concerns are the sale of low-quality food, inflating social mission, and locking out those users who are not as digitally savvy. In general, operations and technology feasibility are good when </w:t>
      </w:r>
      <w:proofErr w:type="spellStart"/>
      <w:r w:rsidRPr="0048143A">
        <w:t>FoodLink</w:t>
      </w:r>
      <w:proofErr w:type="spellEnd"/>
      <w:r w:rsidRPr="0048143A">
        <w:t xml:space="preserve"> deploys small-scale at launch, selectively outsources and integrates compliance into the product design.</w:t>
      </w:r>
    </w:p>
    <w:p w14:paraId="575471ED" w14:textId="77777777" w:rsidR="00931100" w:rsidRPr="0048143A" w:rsidRDefault="00931100" w:rsidP="00931100"/>
    <w:p w14:paraId="02C8CE95" w14:textId="77777777" w:rsidR="00875241" w:rsidRPr="0048143A" w:rsidRDefault="00000000" w:rsidP="00931100">
      <w:pPr>
        <w:pStyle w:val="Heading1"/>
      </w:pPr>
      <w:bookmarkStart w:id="4" w:name="_Toc227434269"/>
      <w:r w:rsidRPr="0048143A">
        <w:t>Market Feasibility</w:t>
      </w:r>
      <w:bookmarkEnd w:id="4"/>
    </w:p>
    <w:p w14:paraId="59DDDB5C" w14:textId="77777777" w:rsidR="00BC4D42" w:rsidRPr="0048143A" w:rsidRDefault="00BC4D42" w:rsidP="00931100">
      <w:r w:rsidRPr="0048143A">
        <w:t xml:space="preserve">The market feasibility is </w:t>
      </w:r>
      <w:proofErr w:type="spellStart"/>
      <w:r w:rsidRPr="0048143A">
        <w:t>favourable</w:t>
      </w:r>
      <w:proofErr w:type="spellEnd"/>
      <w:r w:rsidRPr="0048143A">
        <w:t xml:space="preserve"> as </w:t>
      </w:r>
      <w:proofErr w:type="spellStart"/>
      <w:r w:rsidRPr="0048143A">
        <w:t>FoodLink</w:t>
      </w:r>
      <w:proofErr w:type="spellEnd"/>
      <w:r w:rsidRPr="0048143A">
        <w:t xml:space="preserve"> is in between a huge waste issue and a huge affordability issue. The estimated amount of food wasted annually in Australia is 7.6 million </w:t>
      </w:r>
      <w:proofErr w:type="spellStart"/>
      <w:r w:rsidRPr="0048143A">
        <w:t>tonnes</w:t>
      </w:r>
      <w:proofErr w:type="spellEnd"/>
      <w:r w:rsidRPr="0048143A">
        <w:t xml:space="preserve"> (of which households waste 2.5 million </w:t>
      </w:r>
      <w:proofErr w:type="spellStart"/>
      <w:r w:rsidRPr="0048143A">
        <w:t>tonnes</w:t>
      </w:r>
      <w:proofErr w:type="spellEnd"/>
      <w:r w:rsidRPr="0048143A">
        <w:t>); the Hunger Report 2025 released by Foodbank Australia revealed that one-third of households have experienced food insecurity (DCCEW, 2025; Foodbank Australia, 2025). Meanwhile, the ABS has also indicated that food and non-alcoholic beverages were also a significant driver of inflation in early 2026 (ABS, 2026a). These circumstances indicate that the necessity of discounted food access does not have a short-term character, and vendors also have the motive to get some value out of overproduction.</w:t>
      </w:r>
    </w:p>
    <w:p w14:paraId="2F352E11" w14:textId="77777777" w:rsidR="00BC4D42" w:rsidRPr="0048143A" w:rsidRDefault="00BC4D42" w:rsidP="00931100">
      <w:r w:rsidRPr="0048143A">
        <w:lastRenderedPageBreak/>
        <w:t xml:space="preserve">A market is not saturated since existing solutions are still disjointed. Some of the charities like </w:t>
      </w:r>
      <w:proofErr w:type="spellStart"/>
      <w:r w:rsidRPr="0048143A">
        <w:t>OzHarvest</w:t>
      </w:r>
      <w:proofErr w:type="spellEnd"/>
      <w:r w:rsidRPr="0048143A">
        <w:t xml:space="preserve"> and </w:t>
      </w:r>
      <w:proofErr w:type="spellStart"/>
      <w:r w:rsidRPr="0048143A">
        <w:t>SecondBite</w:t>
      </w:r>
      <w:proofErr w:type="spellEnd"/>
      <w:r w:rsidRPr="0048143A">
        <w:t xml:space="preserve"> save huge amounts of food, though their business model is based on donation-driven, and not consumer marketplace-driven (</w:t>
      </w:r>
      <w:proofErr w:type="spellStart"/>
      <w:r w:rsidRPr="0048143A">
        <w:t>OzHarvest</w:t>
      </w:r>
      <w:proofErr w:type="spellEnd"/>
      <w:r w:rsidRPr="0048143A">
        <w:t xml:space="preserve">, n.d.; </w:t>
      </w:r>
      <w:proofErr w:type="spellStart"/>
      <w:r w:rsidRPr="0048143A">
        <w:t>SecondBite</w:t>
      </w:r>
      <w:proofErr w:type="spellEnd"/>
      <w:r w:rsidRPr="0048143A">
        <w:t xml:space="preserve">, 2024). There are also commercial competitors. Too Good </w:t>
      </w:r>
      <w:proofErr w:type="gramStart"/>
      <w:r w:rsidRPr="0048143A">
        <w:t>To</w:t>
      </w:r>
      <w:proofErr w:type="gramEnd"/>
      <w:r w:rsidRPr="0048143A">
        <w:t xml:space="preserve"> Go was introduced in Sydney in 2024, Y Waste has been operating in the Australian surplus-food sector a few years, and Yume offers surplus-food diversion solutions to business (Too Good </w:t>
      </w:r>
      <w:proofErr w:type="gramStart"/>
      <w:r w:rsidRPr="0048143A">
        <w:t>To</w:t>
      </w:r>
      <w:proofErr w:type="gramEnd"/>
      <w:r w:rsidRPr="0048143A">
        <w:t xml:space="preserve"> Go, 2024; Yume Food Australia, n.d.). It implies that the competition in the industry is actual, which aligns with the findings of Porter (2008) that rivalry is greater when the companies are targeting the same customers, but it also indicates that the idea is confirmed. The opportunity of </w:t>
      </w:r>
      <w:proofErr w:type="spellStart"/>
      <w:r w:rsidRPr="0048143A">
        <w:t>FoodLink</w:t>
      </w:r>
      <w:proofErr w:type="spellEnd"/>
      <w:r w:rsidRPr="0048143A">
        <w:t xml:space="preserve"> is to establish itself as a city-centered and local service that combines real-time discounts, good service to vendors and a clear consumer-plus-charity channel.</w:t>
      </w:r>
    </w:p>
    <w:p w14:paraId="26350D41" w14:textId="77777777" w:rsidR="00BC4D42" w:rsidRPr="0048143A" w:rsidRDefault="00BC4D42" w:rsidP="00931100">
      <w:r w:rsidRPr="0048143A">
        <w:t xml:space="preserve">Entry barriers are not small. The new entrant requires the trust of the vendors, consumer confidence, food safety integrity and a sufficient local density to produce repeat purchases. Platform network effects are important: as there are not many nearby vendors the app is empty and as there are not many </w:t>
      </w:r>
      <w:proofErr w:type="gramStart"/>
      <w:r w:rsidRPr="0048143A">
        <w:t>users</w:t>
      </w:r>
      <w:proofErr w:type="gramEnd"/>
      <w:r w:rsidRPr="0048143A">
        <w:t xml:space="preserve"> vendors will no longer list. </w:t>
      </w:r>
      <w:proofErr w:type="spellStart"/>
      <w:r w:rsidRPr="0048143A">
        <w:t>FoodLink</w:t>
      </w:r>
      <w:proofErr w:type="spellEnd"/>
      <w:r w:rsidRPr="0048143A">
        <w:t xml:space="preserve"> must not then go national on its initial launch but focus on a few clusters within Sydney and Melbourne. This is equivalent to the AT2 strategy, supported by ABS data that Sydney and Melbourne are still the biggest and the quickest growing capital city market in Australia (ABS, 2026b).</w:t>
      </w:r>
    </w:p>
    <w:p w14:paraId="5C4A509A" w14:textId="77777777" w:rsidR="00BC4D42" w:rsidRPr="0048143A" w:rsidRDefault="00BC4D42" w:rsidP="00931100">
      <w:r w:rsidRPr="0048143A">
        <w:t xml:space="preserve">It should be </w:t>
      </w:r>
      <w:proofErr w:type="spellStart"/>
      <w:r w:rsidRPr="0048143A">
        <w:t>behavioural</w:t>
      </w:r>
      <w:proofErr w:type="spellEnd"/>
      <w:r w:rsidRPr="0048143A">
        <w:t xml:space="preserve">, geographic segmentation. Price-sensitive consumers, sustainability-considerate consumers, students and young professionals, and local redistribution partners in the form of community </w:t>
      </w:r>
      <w:proofErr w:type="spellStart"/>
      <w:r w:rsidRPr="0048143A">
        <w:t>organisations</w:t>
      </w:r>
      <w:proofErr w:type="spellEnd"/>
      <w:r w:rsidRPr="0048143A">
        <w:t xml:space="preserve"> are the most significant early customer groups. The vendors are to be divided into cafes, bakeries, quick-service restaurants, supermarkets as well as smaller food retailers, as they have varying listing patterns and volumes. Supermarket markdowns and generic food-delivery apps and charity channels are now providing customers with cheaper food. The strength of </w:t>
      </w:r>
      <w:proofErr w:type="spellStart"/>
      <w:r w:rsidRPr="0048143A">
        <w:t>FoodLink</w:t>
      </w:r>
      <w:proofErr w:type="spellEnd"/>
      <w:r w:rsidRPr="0048143A">
        <w:t xml:space="preserve"> lies in the immediacy, locality and purpose-based branding. The Australian </w:t>
      </w:r>
      <w:r w:rsidRPr="0048143A">
        <w:lastRenderedPageBreak/>
        <w:t>food-rescue studies indicate that redistribution systems that are practical, trusted and embedded in the locality are the most effective to deploy recovery models (Lindberg et al., 2014).</w:t>
      </w:r>
    </w:p>
    <w:p w14:paraId="0E6A8CB0" w14:textId="2A03038E" w:rsidR="003A0B84" w:rsidRDefault="00BC4D42" w:rsidP="00931100">
      <w:r w:rsidRPr="0048143A">
        <w:t xml:space="preserve">An estimated market which is realistic and can be obtained and serviceable is better than a wide national estimate. Provided that its launch is supported by about 100-120 vendors located in the chosen Sandy and Melbourne catchments and repeat purchase is made, approximately 60,000 orders can be reached within the first year. The market feasibility is thus high enough to take the leap although the business must gain </w:t>
      </w:r>
      <w:proofErr w:type="spellStart"/>
      <w:r w:rsidRPr="0048143A">
        <w:t>neighbourhood</w:t>
      </w:r>
      <w:proofErr w:type="spellEnd"/>
      <w:r w:rsidRPr="0048143A">
        <w:t xml:space="preserve"> level density first before spreading geographically.</w:t>
      </w:r>
    </w:p>
    <w:p w14:paraId="10F491DD" w14:textId="77777777" w:rsidR="00931100" w:rsidRPr="0048143A" w:rsidRDefault="00931100" w:rsidP="00931100"/>
    <w:p w14:paraId="71D08454" w14:textId="77777777" w:rsidR="00875241" w:rsidRPr="0048143A" w:rsidRDefault="00000000" w:rsidP="00931100">
      <w:pPr>
        <w:pStyle w:val="Heading1"/>
      </w:pPr>
      <w:bookmarkStart w:id="5" w:name="_Toc227434270"/>
      <w:r w:rsidRPr="0048143A">
        <w:t>Human Resources Feasibility</w:t>
      </w:r>
      <w:bookmarkEnd w:id="5"/>
    </w:p>
    <w:p w14:paraId="542F1F12" w14:textId="77777777" w:rsidR="00EC7F65" w:rsidRPr="0048143A" w:rsidRDefault="00EC7F65" w:rsidP="00931100">
      <w:r w:rsidRPr="0048143A">
        <w:t xml:space="preserve">The viability of human resources will be good in case </w:t>
      </w:r>
      <w:proofErr w:type="spellStart"/>
      <w:r w:rsidRPr="0048143A">
        <w:t>FoodLink</w:t>
      </w:r>
      <w:proofErr w:type="spellEnd"/>
      <w:r w:rsidRPr="0048143A">
        <w:t xml:space="preserve"> will be founder-led, role-specific during the first three years of its operation. The presentation mentions four group members, which makes a four-founder start-up the most viable ownership structure, which can dilute in the future at the same rate in case the proposed investor acquires 20 per cent of the equity. A realistic job description would be: Babita Maya Gurung venture lead and partnerships manager, Bibek Kumar Pakhrin product and technology lead, Ishara Adhikari marketing and growth lead and Alisha operations and community partnerships lead. This provides the company with distinct responsibility in the key operations.</w:t>
      </w:r>
    </w:p>
    <w:p w14:paraId="2EC7D081" w14:textId="77777777" w:rsidR="00EC7F65" w:rsidRPr="0048143A" w:rsidRDefault="00EC7F65" w:rsidP="00931100">
      <w:r w:rsidRPr="0048143A">
        <w:t xml:space="preserve">The business must have technical and managerial prowess. The technical skills needed include app management, analytics analysis, coordination of payment platforms and basic knowledge of the food safety process. On the managerial level, it requires acquiring vendors, customer care, relationship and budget management. This work can be done during the first year, with the four founders outsourcing the services of experts in the field of coding, legal issues and accounting. Year two: The company will need to include a vendor success manager and marketing/data </w:t>
      </w:r>
      <w:r w:rsidRPr="0048143A">
        <w:lastRenderedPageBreak/>
        <w:t>coordinator. During the third year, it will need to add an operations coordinator and second part of partnership positions. This translates to 4.5 full time equivalents of the first year, 6 in the second year and 8 in the third year.</w:t>
      </w:r>
    </w:p>
    <w:p w14:paraId="49A84726" w14:textId="4296ABF8" w:rsidR="00EC7F65" w:rsidRDefault="00EC7F65" w:rsidP="00931100">
      <w:r w:rsidRPr="0048143A">
        <w:t>Recruitment ought to be based on mission fit, speed of communication and speed of execution as opposed to the formal hierarchy. University networks, contacts in the hospitality industry, start-up communities, and LinkedIn are the sources of the employees. Paying should be a combination of low fixed compensation and performance pay that is tied to vendor retention, repeat customer and quality of services. Visible impact will also be a motivating factor and core team members will have equity participation as a motivating factor. Training should be continuous in platform operations, addressing complaints, practicing privacy and raising food quality. The quality management must be controlled with the help of clear SOPs, Vendor onboarding requirements, customer feedback, dashboard monitoring and regular review of their partners. There is then good human resource feasibility, which only works when the venture maintains a high staffing lean, and high process discipline.</w:t>
      </w:r>
    </w:p>
    <w:p w14:paraId="09B0923F" w14:textId="77777777" w:rsidR="003C0560" w:rsidRPr="0048143A" w:rsidRDefault="003C0560" w:rsidP="00931100"/>
    <w:p w14:paraId="5AE77A9B" w14:textId="77777777" w:rsidR="00875241" w:rsidRPr="0048143A" w:rsidRDefault="00000000" w:rsidP="00931100">
      <w:pPr>
        <w:pStyle w:val="Heading1"/>
      </w:pPr>
      <w:bookmarkStart w:id="6" w:name="_Toc227434271"/>
      <w:r w:rsidRPr="0048143A">
        <w:t>Financial Feasibility</w:t>
      </w:r>
      <w:bookmarkEnd w:id="6"/>
    </w:p>
    <w:p w14:paraId="70FB9534" w14:textId="77777777" w:rsidR="000C038F" w:rsidRPr="0048143A" w:rsidRDefault="000C038F" w:rsidP="00931100">
      <w:r w:rsidRPr="0048143A">
        <w:t>The feasibility, in terms of finances, allows going on, albeit as a slim-bodied pilot with clear assumptions. AT2 proposed a start-up investment of $40,000, allocated to app development ($25,000), marketing ($10,000) and operations ($5,000). This is still realistic in the case of MVP in case the business outsources the development, cloud infrastructure, the business outsources a third-party payment gateway and customer pickup and not own delivery. The 20 per cent equity offer on this investment would lead to a post-money valuation of 200 000 dollars which is fair given the concept-stage social-impact start-up but would entail the provision of milestone reporting and certain strategic control by the investors.</w:t>
      </w:r>
    </w:p>
    <w:p w14:paraId="7E97D7F0" w14:textId="77777777" w:rsidR="000C038F" w:rsidRPr="0048143A" w:rsidRDefault="000C038F" w:rsidP="00931100">
      <w:r w:rsidRPr="0048143A">
        <w:lastRenderedPageBreak/>
        <w:t xml:space="preserve">Transaction commissions and vendor subscriptions are the most plausible sources of operating revenues. The introduction of premium analytics can be made in the future after the platform proves to be worthwhile to vendors. In the case of this plan, the average order value is assumed to be 12 and a platform commission of 18 per cent, to forecast. The assumption of vendor subscriptions is: 30 per month, whereby the small premium analytics uptake would occur in the second year. Based on that, the first year will be estimated to have 60,000 orders, which will generate a gross merchandise value of 720,000 and a commission revenue of 129,600. Having approximately 100 paying vendors, subscription income contributes to $36,000 and restricted add-ons contribute to the overall revenue to the tune of about $169,200. The </w:t>
      </w:r>
      <w:proofErr w:type="gramStart"/>
      <w:r w:rsidRPr="0048143A">
        <w:t>second year</w:t>
      </w:r>
      <w:proofErr w:type="gramEnd"/>
      <w:r w:rsidRPr="0048143A">
        <w:t xml:space="preserve"> prediction is 105,000 orders and approximately 180 vendors where the income is expected to be approximately 304,500. In year three, 160,000 orders and around 260 vendors generate about $485,400.</w:t>
      </w:r>
    </w:p>
    <w:p w14:paraId="2244001C" w14:textId="77777777" w:rsidR="000C038F" w:rsidRPr="0048143A" w:rsidRDefault="000C038F" w:rsidP="00931100">
      <w:r w:rsidRPr="0048143A">
        <w:t>The profit and loss profile as projected is appealing since the costs will not have to increase at a faster rate than the revenue. During the first year, the operating profit is minimal (approximately 7,200) generated by operating expenses of approximately $162,000 and the first year is actually a break-even and validation process. Year two has an operating profit of approximately 78,500 which is generated by operating expenses of approximately 226,000. During the third year, the operating expenses incurred are approximately $307,000 with an operating profit of approximately 178,400. These predictions are not the sure results, but they indicate that the model can be efficient in case the density of the vendors is high, and the repeat buying rates and quality control are high.</w:t>
      </w:r>
    </w:p>
    <w:p w14:paraId="10111C0F" w14:textId="25C4F7A2" w:rsidR="00EC7F65" w:rsidRPr="0048143A" w:rsidRDefault="000C038F" w:rsidP="00931100">
      <w:r w:rsidRPr="0048143A">
        <w:t xml:space="preserve">The potential sources of finance are founder capital, family and friends, angels, impact investors and university or government-oriented innovation financing. The likelihood of fundraising is moderate: the venture has a good social purpose and relevance to the circular economy, but it still requires the demonstration of retention and implementation. Equity, a degree of decision </w:t>
      </w:r>
      <w:r w:rsidRPr="0048143A">
        <w:lastRenderedPageBreak/>
        <w:t xml:space="preserve">autonomy and accountability of performance is what the founders lose. The financial viability is, thus, </w:t>
      </w:r>
      <w:proofErr w:type="spellStart"/>
      <w:r w:rsidRPr="0048143A">
        <w:t>favourable</w:t>
      </w:r>
      <w:proofErr w:type="spellEnd"/>
      <w:r w:rsidRPr="0048143A">
        <w:t>, as long as financing is based on pilot milestones as opposed to early growth.</w:t>
      </w:r>
    </w:p>
    <w:p w14:paraId="28FDE0A5" w14:textId="196CF24C" w:rsidR="00931100" w:rsidRDefault="00931100" w:rsidP="00931100">
      <w:pPr>
        <w:pStyle w:val="Caption"/>
        <w:keepNext/>
        <w:spacing w:line="480" w:lineRule="auto"/>
      </w:pPr>
      <w:r>
        <w:t xml:space="preserve">Table </w:t>
      </w:r>
      <w:fldSimple w:instr=" SEQ Table \* ARABIC ">
        <w:r>
          <w:rPr>
            <w:noProof/>
          </w:rPr>
          <w:t>2</w:t>
        </w:r>
      </w:fldSimple>
      <w:r>
        <w:t xml:space="preserve"> </w:t>
      </w:r>
      <w:r w:rsidRPr="00B4319A">
        <w:t>Revenue and sales assumptions</w:t>
      </w:r>
    </w:p>
    <w:tbl>
      <w:tblPr>
        <w:tblW w:w="0" w:type="auto"/>
        <w:jc w:val="center"/>
        <w:tblBorders>
          <w:top w:val="single" w:sz="6" w:space="0" w:color="C8D8C8"/>
          <w:left w:val="single" w:sz="6" w:space="0" w:color="C8D8C8"/>
          <w:bottom w:val="single" w:sz="6" w:space="0" w:color="C8D8C8"/>
          <w:right w:val="single" w:sz="6" w:space="0" w:color="C8D8C8"/>
          <w:insideH w:val="single" w:sz="6" w:space="0" w:color="C8D8C8"/>
          <w:insideV w:val="single" w:sz="6" w:space="0" w:color="C8D8C8"/>
        </w:tblBorders>
        <w:tblLayout w:type="fixed"/>
        <w:tblLook w:val="04A0" w:firstRow="1" w:lastRow="0" w:firstColumn="1" w:lastColumn="0" w:noHBand="0" w:noVBand="1"/>
      </w:tblPr>
      <w:tblGrid>
        <w:gridCol w:w="1928"/>
        <w:gridCol w:w="1928"/>
        <w:gridCol w:w="1928"/>
        <w:gridCol w:w="1928"/>
        <w:gridCol w:w="2016"/>
      </w:tblGrid>
      <w:tr w:rsidR="0048143A" w:rsidRPr="0048143A" w14:paraId="778F50CF" w14:textId="77777777">
        <w:trPr>
          <w:jc w:val="center"/>
        </w:trPr>
        <w:tc>
          <w:tcPr>
            <w:tcW w:w="1928" w:type="dxa"/>
            <w:shd w:val="clear" w:color="auto" w:fill="DDEFE4"/>
            <w:tcMar>
              <w:top w:w="90" w:type="dxa"/>
              <w:left w:w="80" w:type="dxa"/>
              <w:bottom w:w="90" w:type="dxa"/>
              <w:right w:w="80" w:type="dxa"/>
            </w:tcMar>
            <w:vAlign w:val="center"/>
          </w:tcPr>
          <w:p w14:paraId="688F7A1E" w14:textId="77777777" w:rsidR="00875241" w:rsidRPr="0048143A" w:rsidRDefault="00000000" w:rsidP="00931100">
            <w:r w:rsidRPr="0048143A">
              <w:t>Year</w:t>
            </w:r>
          </w:p>
        </w:tc>
        <w:tc>
          <w:tcPr>
            <w:tcW w:w="1928" w:type="dxa"/>
            <w:shd w:val="clear" w:color="auto" w:fill="DDEFE4"/>
            <w:tcMar>
              <w:top w:w="90" w:type="dxa"/>
              <w:left w:w="80" w:type="dxa"/>
              <w:bottom w:w="90" w:type="dxa"/>
              <w:right w:w="80" w:type="dxa"/>
            </w:tcMar>
            <w:vAlign w:val="center"/>
          </w:tcPr>
          <w:p w14:paraId="634CB4DA" w14:textId="77777777" w:rsidR="00875241" w:rsidRPr="0048143A" w:rsidRDefault="00000000" w:rsidP="00931100">
            <w:r w:rsidRPr="0048143A">
              <w:t>Orders</w:t>
            </w:r>
          </w:p>
        </w:tc>
        <w:tc>
          <w:tcPr>
            <w:tcW w:w="1928" w:type="dxa"/>
            <w:shd w:val="clear" w:color="auto" w:fill="DDEFE4"/>
            <w:tcMar>
              <w:top w:w="90" w:type="dxa"/>
              <w:left w:w="80" w:type="dxa"/>
              <w:bottom w:w="90" w:type="dxa"/>
              <w:right w:w="80" w:type="dxa"/>
            </w:tcMar>
            <w:vAlign w:val="center"/>
          </w:tcPr>
          <w:p w14:paraId="10C2F4E0" w14:textId="77777777" w:rsidR="00875241" w:rsidRPr="0048143A" w:rsidRDefault="00000000" w:rsidP="00931100">
            <w:r w:rsidRPr="0048143A">
              <w:t>Avg. order value</w:t>
            </w:r>
          </w:p>
        </w:tc>
        <w:tc>
          <w:tcPr>
            <w:tcW w:w="1928" w:type="dxa"/>
            <w:shd w:val="clear" w:color="auto" w:fill="DDEFE4"/>
            <w:tcMar>
              <w:top w:w="90" w:type="dxa"/>
              <w:left w:w="80" w:type="dxa"/>
              <w:bottom w:w="90" w:type="dxa"/>
              <w:right w:w="80" w:type="dxa"/>
            </w:tcMar>
            <w:vAlign w:val="center"/>
          </w:tcPr>
          <w:p w14:paraId="2238FB83" w14:textId="77777777" w:rsidR="00875241" w:rsidRPr="0048143A" w:rsidRDefault="00000000" w:rsidP="00931100">
            <w:r w:rsidRPr="0048143A">
              <w:t>GMV</w:t>
            </w:r>
          </w:p>
        </w:tc>
        <w:tc>
          <w:tcPr>
            <w:tcW w:w="1928" w:type="dxa"/>
            <w:shd w:val="clear" w:color="auto" w:fill="DDEFE4"/>
            <w:tcMar>
              <w:top w:w="90" w:type="dxa"/>
              <w:left w:w="80" w:type="dxa"/>
              <w:bottom w:w="90" w:type="dxa"/>
              <w:right w:w="80" w:type="dxa"/>
            </w:tcMar>
            <w:vAlign w:val="center"/>
          </w:tcPr>
          <w:p w14:paraId="7F1584A9" w14:textId="77777777" w:rsidR="00875241" w:rsidRPr="0048143A" w:rsidRDefault="00000000" w:rsidP="00931100">
            <w:r w:rsidRPr="0048143A">
              <w:t>Revenue</w:t>
            </w:r>
          </w:p>
        </w:tc>
      </w:tr>
      <w:tr w:rsidR="0048143A" w:rsidRPr="0048143A" w14:paraId="0B13808F" w14:textId="77777777">
        <w:trPr>
          <w:jc w:val="center"/>
        </w:trPr>
        <w:tc>
          <w:tcPr>
            <w:tcW w:w="1440" w:type="dxa"/>
            <w:tcMar>
              <w:top w:w="90" w:type="dxa"/>
              <w:left w:w="80" w:type="dxa"/>
              <w:bottom w:w="90" w:type="dxa"/>
              <w:right w:w="80" w:type="dxa"/>
            </w:tcMar>
            <w:vAlign w:val="center"/>
          </w:tcPr>
          <w:p w14:paraId="501C1A59" w14:textId="77777777" w:rsidR="00875241" w:rsidRPr="0048143A" w:rsidRDefault="00000000" w:rsidP="00931100">
            <w:r w:rsidRPr="0048143A">
              <w:t>Year 1</w:t>
            </w:r>
          </w:p>
        </w:tc>
        <w:tc>
          <w:tcPr>
            <w:tcW w:w="1728" w:type="dxa"/>
            <w:tcMar>
              <w:top w:w="90" w:type="dxa"/>
              <w:left w:w="80" w:type="dxa"/>
              <w:bottom w:w="90" w:type="dxa"/>
              <w:right w:w="80" w:type="dxa"/>
            </w:tcMar>
            <w:vAlign w:val="center"/>
          </w:tcPr>
          <w:p w14:paraId="612B99A1" w14:textId="77777777" w:rsidR="00875241" w:rsidRPr="0048143A" w:rsidRDefault="00000000" w:rsidP="00931100">
            <w:r w:rsidRPr="0048143A">
              <w:t>60,000</w:t>
            </w:r>
          </w:p>
        </w:tc>
        <w:tc>
          <w:tcPr>
            <w:tcW w:w="1872" w:type="dxa"/>
            <w:tcMar>
              <w:top w:w="90" w:type="dxa"/>
              <w:left w:w="80" w:type="dxa"/>
              <w:bottom w:w="90" w:type="dxa"/>
              <w:right w:w="80" w:type="dxa"/>
            </w:tcMar>
            <w:vAlign w:val="center"/>
          </w:tcPr>
          <w:p w14:paraId="60B19266" w14:textId="77777777" w:rsidR="00875241" w:rsidRPr="0048143A" w:rsidRDefault="00000000" w:rsidP="00931100">
            <w:r w:rsidRPr="0048143A">
              <w:t>$12.00</w:t>
            </w:r>
          </w:p>
        </w:tc>
        <w:tc>
          <w:tcPr>
            <w:tcW w:w="1872" w:type="dxa"/>
            <w:tcMar>
              <w:top w:w="90" w:type="dxa"/>
              <w:left w:w="80" w:type="dxa"/>
              <w:bottom w:w="90" w:type="dxa"/>
              <w:right w:w="80" w:type="dxa"/>
            </w:tcMar>
            <w:vAlign w:val="center"/>
          </w:tcPr>
          <w:p w14:paraId="174A35E3" w14:textId="77777777" w:rsidR="00875241" w:rsidRPr="0048143A" w:rsidRDefault="00000000" w:rsidP="00931100">
            <w:r w:rsidRPr="0048143A">
              <w:t>$720,000</w:t>
            </w:r>
          </w:p>
        </w:tc>
        <w:tc>
          <w:tcPr>
            <w:tcW w:w="2016" w:type="dxa"/>
            <w:tcMar>
              <w:top w:w="90" w:type="dxa"/>
              <w:left w:w="80" w:type="dxa"/>
              <w:bottom w:w="90" w:type="dxa"/>
              <w:right w:w="80" w:type="dxa"/>
            </w:tcMar>
            <w:vAlign w:val="center"/>
          </w:tcPr>
          <w:p w14:paraId="15020F59" w14:textId="77777777" w:rsidR="00875241" w:rsidRPr="0048143A" w:rsidRDefault="00000000" w:rsidP="00931100">
            <w:r w:rsidRPr="0048143A">
              <w:t>$169,200</w:t>
            </w:r>
          </w:p>
        </w:tc>
      </w:tr>
      <w:tr w:rsidR="0048143A" w:rsidRPr="0048143A" w14:paraId="6BBDD00D" w14:textId="77777777">
        <w:trPr>
          <w:jc w:val="center"/>
        </w:trPr>
        <w:tc>
          <w:tcPr>
            <w:tcW w:w="1440" w:type="dxa"/>
            <w:tcMar>
              <w:top w:w="90" w:type="dxa"/>
              <w:left w:w="80" w:type="dxa"/>
              <w:bottom w:w="90" w:type="dxa"/>
              <w:right w:w="80" w:type="dxa"/>
            </w:tcMar>
            <w:vAlign w:val="center"/>
          </w:tcPr>
          <w:p w14:paraId="06379C69" w14:textId="77777777" w:rsidR="00875241" w:rsidRPr="0048143A" w:rsidRDefault="00000000" w:rsidP="00931100">
            <w:r w:rsidRPr="0048143A">
              <w:t>Year 2</w:t>
            </w:r>
          </w:p>
        </w:tc>
        <w:tc>
          <w:tcPr>
            <w:tcW w:w="1728" w:type="dxa"/>
            <w:tcMar>
              <w:top w:w="90" w:type="dxa"/>
              <w:left w:w="80" w:type="dxa"/>
              <w:bottom w:w="90" w:type="dxa"/>
              <w:right w:w="80" w:type="dxa"/>
            </w:tcMar>
            <w:vAlign w:val="center"/>
          </w:tcPr>
          <w:p w14:paraId="1E780CF0" w14:textId="77777777" w:rsidR="00875241" w:rsidRPr="0048143A" w:rsidRDefault="00000000" w:rsidP="00931100">
            <w:r w:rsidRPr="0048143A">
              <w:t>105,000</w:t>
            </w:r>
          </w:p>
        </w:tc>
        <w:tc>
          <w:tcPr>
            <w:tcW w:w="1872" w:type="dxa"/>
            <w:tcMar>
              <w:top w:w="90" w:type="dxa"/>
              <w:left w:w="80" w:type="dxa"/>
              <w:bottom w:w="90" w:type="dxa"/>
              <w:right w:w="80" w:type="dxa"/>
            </w:tcMar>
            <w:vAlign w:val="center"/>
          </w:tcPr>
          <w:p w14:paraId="7E950DC7" w14:textId="77777777" w:rsidR="00875241" w:rsidRPr="0048143A" w:rsidRDefault="00000000" w:rsidP="00931100">
            <w:r w:rsidRPr="0048143A">
              <w:t>$12.00</w:t>
            </w:r>
          </w:p>
        </w:tc>
        <w:tc>
          <w:tcPr>
            <w:tcW w:w="1872" w:type="dxa"/>
            <w:tcMar>
              <w:top w:w="90" w:type="dxa"/>
              <w:left w:w="80" w:type="dxa"/>
              <w:bottom w:w="90" w:type="dxa"/>
              <w:right w:w="80" w:type="dxa"/>
            </w:tcMar>
            <w:vAlign w:val="center"/>
          </w:tcPr>
          <w:p w14:paraId="373E8D25" w14:textId="77777777" w:rsidR="00875241" w:rsidRPr="0048143A" w:rsidRDefault="00000000" w:rsidP="00931100">
            <w:r w:rsidRPr="0048143A">
              <w:t>$1,260,000</w:t>
            </w:r>
          </w:p>
        </w:tc>
        <w:tc>
          <w:tcPr>
            <w:tcW w:w="2016" w:type="dxa"/>
            <w:tcMar>
              <w:top w:w="90" w:type="dxa"/>
              <w:left w:w="80" w:type="dxa"/>
              <w:bottom w:w="90" w:type="dxa"/>
              <w:right w:w="80" w:type="dxa"/>
            </w:tcMar>
            <w:vAlign w:val="center"/>
          </w:tcPr>
          <w:p w14:paraId="75B99609" w14:textId="77777777" w:rsidR="00875241" w:rsidRPr="0048143A" w:rsidRDefault="00000000" w:rsidP="00931100">
            <w:r w:rsidRPr="0048143A">
              <w:t>$304,500</w:t>
            </w:r>
          </w:p>
        </w:tc>
      </w:tr>
      <w:tr w:rsidR="00875241" w:rsidRPr="0048143A" w14:paraId="3F333B58" w14:textId="77777777">
        <w:trPr>
          <w:jc w:val="center"/>
        </w:trPr>
        <w:tc>
          <w:tcPr>
            <w:tcW w:w="1440" w:type="dxa"/>
            <w:tcMar>
              <w:top w:w="90" w:type="dxa"/>
              <w:left w:w="80" w:type="dxa"/>
              <w:bottom w:w="90" w:type="dxa"/>
              <w:right w:w="80" w:type="dxa"/>
            </w:tcMar>
            <w:vAlign w:val="center"/>
          </w:tcPr>
          <w:p w14:paraId="6BE37B6E" w14:textId="77777777" w:rsidR="00875241" w:rsidRPr="0048143A" w:rsidRDefault="00000000" w:rsidP="00931100">
            <w:r w:rsidRPr="0048143A">
              <w:t>Year 3</w:t>
            </w:r>
          </w:p>
        </w:tc>
        <w:tc>
          <w:tcPr>
            <w:tcW w:w="1728" w:type="dxa"/>
            <w:tcMar>
              <w:top w:w="90" w:type="dxa"/>
              <w:left w:w="80" w:type="dxa"/>
              <w:bottom w:w="90" w:type="dxa"/>
              <w:right w:w="80" w:type="dxa"/>
            </w:tcMar>
            <w:vAlign w:val="center"/>
          </w:tcPr>
          <w:p w14:paraId="11031CC8" w14:textId="77777777" w:rsidR="00875241" w:rsidRPr="0048143A" w:rsidRDefault="00000000" w:rsidP="00931100">
            <w:r w:rsidRPr="0048143A">
              <w:t>160,000</w:t>
            </w:r>
          </w:p>
        </w:tc>
        <w:tc>
          <w:tcPr>
            <w:tcW w:w="1872" w:type="dxa"/>
            <w:tcMar>
              <w:top w:w="90" w:type="dxa"/>
              <w:left w:w="80" w:type="dxa"/>
              <w:bottom w:w="90" w:type="dxa"/>
              <w:right w:w="80" w:type="dxa"/>
            </w:tcMar>
            <w:vAlign w:val="center"/>
          </w:tcPr>
          <w:p w14:paraId="3F73D4D6" w14:textId="77777777" w:rsidR="00875241" w:rsidRPr="0048143A" w:rsidRDefault="00000000" w:rsidP="00931100">
            <w:r w:rsidRPr="0048143A">
              <w:t>$12.00</w:t>
            </w:r>
          </w:p>
        </w:tc>
        <w:tc>
          <w:tcPr>
            <w:tcW w:w="1872" w:type="dxa"/>
            <w:tcMar>
              <w:top w:w="90" w:type="dxa"/>
              <w:left w:w="80" w:type="dxa"/>
              <w:bottom w:w="90" w:type="dxa"/>
              <w:right w:w="80" w:type="dxa"/>
            </w:tcMar>
            <w:vAlign w:val="center"/>
          </w:tcPr>
          <w:p w14:paraId="59B8E7B6" w14:textId="77777777" w:rsidR="00875241" w:rsidRPr="0048143A" w:rsidRDefault="00000000" w:rsidP="00931100">
            <w:r w:rsidRPr="0048143A">
              <w:t>$1,920,000</w:t>
            </w:r>
          </w:p>
        </w:tc>
        <w:tc>
          <w:tcPr>
            <w:tcW w:w="2016" w:type="dxa"/>
            <w:tcMar>
              <w:top w:w="90" w:type="dxa"/>
              <w:left w:w="80" w:type="dxa"/>
              <w:bottom w:w="90" w:type="dxa"/>
              <w:right w:w="80" w:type="dxa"/>
            </w:tcMar>
            <w:vAlign w:val="center"/>
          </w:tcPr>
          <w:p w14:paraId="259E2662" w14:textId="77777777" w:rsidR="00875241" w:rsidRPr="0048143A" w:rsidRDefault="00000000" w:rsidP="00931100">
            <w:r w:rsidRPr="0048143A">
              <w:t>$485,400</w:t>
            </w:r>
          </w:p>
        </w:tc>
      </w:tr>
    </w:tbl>
    <w:p w14:paraId="2B786C39" w14:textId="77777777" w:rsidR="00875241" w:rsidRPr="0048143A" w:rsidRDefault="00875241" w:rsidP="00931100"/>
    <w:p w14:paraId="293C2995" w14:textId="294A1A57" w:rsidR="00931100" w:rsidRDefault="00931100" w:rsidP="00931100">
      <w:pPr>
        <w:pStyle w:val="Caption"/>
        <w:keepNext/>
        <w:spacing w:line="480" w:lineRule="auto"/>
      </w:pPr>
      <w:r>
        <w:t xml:space="preserve">Table </w:t>
      </w:r>
      <w:fldSimple w:instr=" SEQ Table \* ARABIC ">
        <w:r>
          <w:rPr>
            <w:noProof/>
          </w:rPr>
          <w:t>3</w:t>
        </w:r>
      </w:fldSimple>
      <w:r>
        <w:t xml:space="preserve"> </w:t>
      </w:r>
      <w:r w:rsidRPr="004139B6">
        <w:t>Projected Profit and Loss (AUD)</w:t>
      </w:r>
    </w:p>
    <w:tbl>
      <w:tblPr>
        <w:tblW w:w="8863" w:type="dxa"/>
        <w:jc w:val="center"/>
        <w:tblBorders>
          <w:top w:val="single" w:sz="6" w:space="0" w:color="C8D8C8"/>
          <w:left w:val="single" w:sz="6" w:space="0" w:color="C8D8C8"/>
          <w:bottom w:val="single" w:sz="6" w:space="0" w:color="C8D8C8"/>
          <w:right w:val="single" w:sz="6" w:space="0" w:color="C8D8C8"/>
          <w:insideH w:val="single" w:sz="6" w:space="0" w:color="C8D8C8"/>
          <w:insideV w:val="single" w:sz="6" w:space="0" w:color="C8D8C8"/>
        </w:tblBorders>
        <w:tblLayout w:type="fixed"/>
        <w:tblLook w:val="04A0" w:firstRow="1" w:lastRow="0" w:firstColumn="1" w:lastColumn="0" w:noHBand="0" w:noVBand="1"/>
      </w:tblPr>
      <w:tblGrid>
        <w:gridCol w:w="2611"/>
        <w:gridCol w:w="2409"/>
        <w:gridCol w:w="2043"/>
        <w:gridCol w:w="1800"/>
      </w:tblGrid>
      <w:tr w:rsidR="0048143A" w:rsidRPr="0048143A" w14:paraId="3EABEA83" w14:textId="77777777" w:rsidTr="0048143A">
        <w:trPr>
          <w:jc w:val="center"/>
        </w:trPr>
        <w:tc>
          <w:tcPr>
            <w:tcW w:w="2611" w:type="dxa"/>
            <w:shd w:val="clear" w:color="auto" w:fill="DDEFE4"/>
            <w:tcMar>
              <w:top w:w="90" w:type="dxa"/>
              <w:left w:w="90" w:type="dxa"/>
              <w:bottom w:w="90" w:type="dxa"/>
              <w:right w:w="90" w:type="dxa"/>
            </w:tcMar>
            <w:vAlign w:val="center"/>
          </w:tcPr>
          <w:p w14:paraId="37D7BCC5" w14:textId="77777777" w:rsidR="00875241" w:rsidRPr="0048143A" w:rsidRDefault="00000000" w:rsidP="00931100">
            <w:r w:rsidRPr="0048143A">
              <w:t>Item</w:t>
            </w:r>
          </w:p>
        </w:tc>
        <w:tc>
          <w:tcPr>
            <w:tcW w:w="2409" w:type="dxa"/>
            <w:shd w:val="clear" w:color="auto" w:fill="DDEFE4"/>
            <w:tcMar>
              <w:top w:w="90" w:type="dxa"/>
              <w:left w:w="90" w:type="dxa"/>
              <w:bottom w:w="90" w:type="dxa"/>
              <w:right w:w="90" w:type="dxa"/>
            </w:tcMar>
            <w:vAlign w:val="center"/>
          </w:tcPr>
          <w:p w14:paraId="6A71AD93" w14:textId="77777777" w:rsidR="00875241" w:rsidRPr="0048143A" w:rsidRDefault="00000000" w:rsidP="00931100">
            <w:r w:rsidRPr="0048143A">
              <w:t>Year 1</w:t>
            </w:r>
          </w:p>
        </w:tc>
        <w:tc>
          <w:tcPr>
            <w:tcW w:w="2043" w:type="dxa"/>
            <w:shd w:val="clear" w:color="auto" w:fill="DDEFE4"/>
            <w:tcMar>
              <w:top w:w="90" w:type="dxa"/>
              <w:left w:w="90" w:type="dxa"/>
              <w:bottom w:w="90" w:type="dxa"/>
              <w:right w:w="90" w:type="dxa"/>
            </w:tcMar>
            <w:vAlign w:val="center"/>
          </w:tcPr>
          <w:p w14:paraId="261CE2B4" w14:textId="77777777" w:rsidR="00875241" w:rsidRPr="0048143A" w:rsidRDefault="00000000" w:rsidP="00931100">
            <w:r w:rsidRPr="0048143A">
              <w:t>Year 2</w:t>
            </w:r>
          </w:p>
        </w:tc>
        <w:tc>
          <w:tcPr>
            <w:tcW w:w="1800" w:type="dxa"/>
            <w:shd w:val="clear" w:color="auto" w:fill="DDEFE4"/>
            <w:tcMar>
              <w:top w:w="90" w:type="dxa"/>
              <w:left w:w="90" w:type="dxa"/>
              <w:bottom w:w="90" w:type="dxa"/>
              <w:right w:w="90" w:type="dxa"/>
            </w:tcMar>
            <w:vAlign w:val="center"/>
          </w:tcPr>
          <w:p w14:paraId="3D31E85C" w14:textId="77777777" w:rsidR="00875241" w:rsidRPr="0048143A" w:rsidRDefault="00000000" w:rsidP="00931100">
            <w:r w:rsidRPr="0048143A">
              <w:t>Year 3</w:t>
            </w:r>
          </w:p>
        </w:tc>
      </w:tr>
      <w:tr w:rsidR="0048143A" w:rsidRPr="0048143A" w14:paraId="39D558F8" w14:textId="77777777" w:rsidTr="0048143A">
        <w:trPr>
          <w:jc w:val="center"/>
        </w:trPr>
        <w:tc>
          <w:tcPr>
            <w:tcW w:w="2611" w:type="dxa"/>
            <w:tcMar>
              <w:top w:w="90" w:type="dxa"/>
              <w:left w:w="90" w:type="dxa"/>
              <w:bottom w:w="90" w:type="dxa"/>
              <w:right w:w="90" w:type="dxa"/>
            </w:tcMar>
            <w:vAlign w:val="center"/>
          </w:tcPr>
          <w:p w14:paraId="64507C4E" w14:textId="77777777" w:rsidR="00875241" w:rsidRPr="0048143A" w:rsidRDefault="00000000" w:rsidP="00931100">
            <w:r w:rsidRPr="0048143A">
              <w:t>Revenue</w:t>
            </w:r>
          </w:p>
        </w:tc>
        <w:tc>
          <w:tcPr>
            <w:tcW w:w="2409" w:type="dxa"/>
            <w:tcMar>
              <w:top w:w="90" w:type="dxa"/>
              <w:left w:w="90" w:type="dxa"/>
              <w:bottom w:w="90" w:type="dxa"/>
              <w:right w:w="90" w:type="dxa"/>
            </w:tcMar>
            <w:vAlign w:val="center"/>
          </w:tcPr>
          <w:p w14:paraId="7EBD9892" w14:textId="77777777" w:rsidR="00875241" w:rsidRPr="0048143A" w:rsidRDefault="00000000" w:rsidP="00931100">
            <w:r w:rsidRPr="0048143A">
              <w:t>$169,200</w:t>
            </w:r>
          </w:p>
        </w:tc>
        <w:tc>
          <w:tcPr>
            <w:tcW w:w="2043" w:type="dxa"/>
            <w:tcMar>
              <w:top w:w="90" w:type="dxa"/>
              <w:left w:w="90" w:type="dxa"/>
              <w:bottom w:w="90" w:type="dxa"/>
              <w:right w:w="90" w:type="dxa"/>
            </w:tcMar>
            <w:vAlign w:val="center"/>
          </w:tcPr>
          <w:p w14:paraId="4A9309E1" w14:textId="77777777" w:rsidR="00875241" w:rsidRPr="0048143A" w:rsidRDefault="00000000" w:rsidP="00931100">
            <w:r w:rsidRPr="0048143A">
              <w:t>$304,500</w:t>
            </w:r>
          </w:p>
        </w:tc>
        <w:tc>
          <w:tcPr>
            <w:tcW w:w="1800" w:type="dxa"/>
            <w:tcMar>
              <w:top w:w="90" w:type="dxa"/>
              <w:left w:w="90" w:type="dxa"/>
              <w:bottom w:w="90" w:type="dxa"/>
              <w:right w:w="90" w:type="dxa"/>
            </w:tcMar>
            <w:vAlign w:val="center"/>
          </w:tcPr>
          <w:p w14:paraId="05EEEBB6" w14:textId="77777777" w:rsidR="00875241" w:rsidRPr="0048143A" w:rsidRDefault="00000000" w:rsidP="00931100">
            <w:r w:rsidRPr="0048143A">
              <w:t>$485,400</w:t>
            </w:r>
          </w:p>
        </w:tc>
      </w:tr>
      <w:tr w:rsidR="0048143A" w:rsidRPr="0048143A" w14:paraId="4E40C820" w14:textId="77777777" w:rsidTr="0048143A">
        <w:trPr>
          <w:jc w:val="center"/>
        </w:trPr>
        <w:tc>
          <w:tcPr>
            <w:tcW w:w="2611" w:type="dxa"/>
            <w:tcMar>
              <w:top w:w="90" w:type="dxa"/>
              <w:left w:w="90" w:type="dxa"/>
              <w:bottom w:w="90" w:type="dxa"/>
              <w:right w:w="90" w:type="dxa"/>
            </w:tcMar>
            <w:vAlign w:val="center"/>
          </w:tcPr>
          <w:p w14:paraId="48C2F03E" w14:textId="77777777" w:rsidR="00875241" w:rsidRPr="0048143A" w:rsidRDefault="00000000" w:rsidP="00931100">
            <w:r w:rsidRPr="0048143A">
              <w:t>Operating expenses</w:t>
            </w:r>
          </w:p>
        </w:tc>
        <w:tc>
          <w:tcPr>
            <w:tcW w:w="2409" w:type="dxa"/>
            <w:tcMar>
              <w:top w:w="90" w:type="dxa"/>
              <w:left w:w="90" w:type="dxa"/>
              <w:bottom w:w="90" w:type="dxa"/>
              <w:right w:w="90" w:type="dxa"/>
            </w:tcMar>
            <w:vAlign w:val="center"/>
          </w:tcPr>
          <w:p w14:paraId="798765AB" w14:textId="77777777" w:rsidR="00875241" w:rsidRPr="0048143A" w:rsidRDefault="00000000" w:rsidP="00931100">
            <w:r w:rsidRPr="0048143A">
              <w:t>$162,000</w:t>
            </w:r>
          </w:p>
        </w:tc>
        <w:tc>
          <w:tcPr>
            <w:tcW w:w="2043" w:type="dxa"/>
            <w:tcMar>
              <w:top w:w="90" w:type="dxa"/>
              <w:left w:w="90" w:type="dxa"/>
              <w:bottom w:w="90" w:type="dxa"/>
              <w:right w:w="90" w:type="dxa"/>
            </w:tcMar>
            <w:vAlign w:val="center"/>
          </w:tcPr>
          <w:p w14:paraId="5A544795" w14:textId="77777777" w:rsidR="00875241" w:rsidRPr="0048143A" w:rsidRDefault="00000000" w:rsidP="00931100">
            <w:r w:rsidRPr="0048143A">
              <w:t>$226,000</w:t>
            </w:r>
          </w:p>
        </w:tc>
        <w:tc>
          <w:tcPr>
            <w:tcW w:w="1800" w:type="dxa"/>
            <w:tcMar>
              <w:top w:w="90" w:type="dxa"/>
              <w:left w:w="90" w:type="dxa"/>
              <w:bottom w:w="90" w:type="dxa"/>
              <w:right w:w="90" w:type="dxa"/>
            </w:tcMar>
            <w:vAlign w:val="center"/>
          </w:tcPr>
          <w:p w14:paraId="6E4AFFB5" w14:textId="77777777" w:rsidR="00875241" w:rsidRPr="0048143A" w:rsidRDefault="00000000" w:rsidP="00931100">
            <w:r w:rsidRPr="0048143A">
              <w:t>$307,000</w:t>
            </w:r>
          </w:p>
        </w:tc>
      </w:tr>
      <w:tr w:rsidR="0048143A" w:rsidRPr="0048143A" w14:paraId="1992665E" w14:textId="77777777" w:rsidTr="0048143A">
        <w:trPr>
          <w:jc w:val="center"/>
        </w:trPr>
        <w:tc>
          <w:tcPr>
            <w:tcW w:w="2611" w:type="dxa"/>
            <w:tcMar>
              <w:top w:w="90" w:type="dxa"/>
              <w:left w:w="90" w:type="dxa"/>
              <w:bottom w:w="90" w:type="dxa"/>
              <w:right w:w="90" w:type="dxa"/>
            </w:tcMar>
            <w:vAlign w:val="center"/>
          </w:tcPr>
          <w:p w14:paraId="264A59C1" w14:textId="77777777" w:rsidR="00875241" w:rsidRPr="0048143A" w:rsidRDefault="00000000" w:rsidP="00931100">
            <w:r w:rsidRPr="0048143A">
              <w:t>Operating profit</w:t>
            </w:r>
          </w:p>
        </w:tc>
        <w:tc>
          <w:tcPr>
            <w:tcW w:w="2409" w:type="dxa"/>
            <w:tcMar>
              <w:top w:w="90" w:type="dxa"/>
              <w:left w:w="90" w:type="dxa"/>
              <w:bottom w:w="90" w:type="dxa"/>
              <w:right w:w="90" w:type="dxa"/>
            </w:tcMar>
            <w:vAlign w:val="center"/>
          </w:tcPr>
          <w:p w14:paraId="0D620AB2" w14:textId="77777777" w:rsidR="00875241" w:rsidRPr="0048143A" w:rsidRDefault="00000000" w:rsidP="00931100">
            <w:r w:rsidRPr="0048143A">
              <w:t>$7,200</w:t>
            </w:r>
          </w:p>
        </w:tc>
        <w:tc>
          <w:tcPr>
            <w:tcW w:w="2043" w:type="dxa"/>
            <w:tcMar>
              <w:top w:w="90" w:type="dxa"/>
              <w:left w:w="90" w:type="dxa"/>
              <w:bottom w:w="90" w:type="dxa"/>
              <w:right w:w="90" w:type="dxa"/>
            </w:tcMar>
            <w:vAlign w:val="center"/>
          </w:tcPr>
          <w:p w14:paraId="05411061" w14:textId="77777777" w:rsidR="00875241" w:rsidRPr="0048143A" w:rsidRDefault="00000000" w:rsidP="00931100">
            <w:r w:rsidRPr="0048143A">
              <w:t>$78,500</w:t>
            </w:r>
          </w:p>
        </w:tc>
        <w:tc>
          <w:tcPr>
            <w:tcW w:w="1800" w:type="dxa"/>
            <w:tcMar>
              <w:top w:w="90" w:type="dxa"/>
              <w:left w:w="90" w:type="dxa"/>
              <w:bottom w:w="90" w:type="dxa"/>
              <w:right w:w="90" w:type="dxa"/>
            </w:tcMar>
            <w:vAlign w:val="center"/>
          </w:tcPr>
          <w:p w14:paraId="2C1E182E" w14:textId="77777777" w:rsidR="00875241" w:rsidRPr="0048143A" w:rsidRDefault="00000000" w:rsidP="00931100">
            <w:r w:rsidRPr="0048143A">
              <w:t>$178,400</w:t>
            </w:r>
          </w:p>
        </w:tc>
      </w:tr>
    </w:tbl>
    <w:p w14:paraId="206DECD5" w14:textId="77777777" w:rsidR="00875241" w:rsidRPr="0048143A" w:rsidRDefault="00875241" w:rsidP="00931100"/>
    <w:p w14:paraId="7391A768" w14:textId="328D4C62" w:rsidR="003F6F7E" w:rsidRPr="0048143A" w:rsidRDefault="00000000" w:rsidP="00931100">
      <w:pPr>
        <w:pStyle w:val="Heading1"/>
      </w:pPr>
      <w:bookmarkStart w:id="7" w:name="_Toc227434272"/>
      <w:r w:rsidRPr="0048143A">
        <w:t>Reasoned Recommendation to Prospective Investor to Proceed</w:t>
      </w:r>
      <w:bookmarkEnd w:id="7"/>
    </w:p>
    <w:p w14:paraId="35D0416F" w14:textId="77777777" w:rsidR="003F6F7E" w:rsidRPr="0048143A" w:rsidRDefault="003F6F7E" w:rsidP="00931100">
      <w:r w:rsidRPr="0048143A">
        <w:t xml:space="preserve">The advice that should be given to a potential investor is to go ahead and invest with </w:t>
      </w:r>
      <w:proofErr w:type="spellStart"/>
      <w:r w:rsidRPr="0048143A">
        <w:t>FoodLink</w:t>
      </w:r>
      <w:proofErr w:type="spellEnd"/>
      <w:r w:rsidRPr="0048143A">
        <w:t xml:space="preserve"> Australia but on a pilot basis which will be controlled in Sydney and Melbourne. The business idea is both a strategically appealing solution since it transforms a significant waste issue into a digital value proposition capable of addressing the pressure of affordability of food as well. The best </w:t>
      </w:r>
      <w:r w:rsidRPr="0048143A">
        <w:lastRenderedPageBreak/>
        <w:t xml:space="preserve">argument in favor of investment is that </w:t>
      </w:r>
      <w:proofErr w:type="spellStart"/>
      <w:r w:rsidRPr="0048143A">
        <w:t>FoodLink</w:t>
      </w:r>
      <w:proofErr w:type="spellEnd"/>
      <w:r w:rsidRPr="0048143A">
        <w:t xml:space="preserve"> will be able to generate environmental, social and commercial value at the same time.</w:t>
      </w:r>
    </w:p>
    <w:p w14:paraId="70F48D39" w14:textId="116B1485" w:rsidR="00EC7F65" w:rsidRPr="0048143A" w:rsidRDefault="003F6F7E" w:rsidP="00931100">
      <w:r w:rsidRPr="0048143A">
        <w:t xml:space="preserve">Nevertheless, the venture must not grow on a national level until it demonstrates three things: vendors are listed and are reliable, customers come back and buy again and complaints are low. It should then be a milestone-based investment, where there would be milestones on the performance of the vendor retention, order volumes, repeat purchase and food-quality performance. In case these pilot metrics are attained, </w:t>
      </w:r>
      <w:proofErr w:type="spellStart"/>
      <w:r w:rsidRPr="0048143A">
        <w:t>FoodLink</w:t>
      </w:r>
      <w:proofErr w:type="spellEnd"/>
      <w:r w:rsidRPr="0048143A">
        <w:t xml:space="preserve"> will have a valid avenue toward profitable growth and quantifiable change. It is based on that the business plan recommends to go ahead.</w:t>
      </w:r>
    </w:p>
    <w:p w14:paraId="45320AA7" w14:textId="77777777" w:rsidR="00875241" w:rsidRPr="0048143A" w:rsidRDefault="00000000" w:rsidP="00931100">
      <w:r w:rsidRPr="0048143A">
        <w:br w:type="page"/>
      </w:r>
    </w:p>
    <w:p w14:paraId="2BCF8295" w14:textId="77777777" w:rsidR="00875241" w:rsidRPr="0048143A" w:rsidRDefault="00000000" w:rsidP="00931100">
      <w:pPr>
        <w:pStyle w:val="Heading1"/>
      </w:pPr>
      <w:bookmarkStart w:id="8" w:name="_Toc227434273"/>
      <w:r w:rsidRPr="0048143A">
        <w:lastRenderedPageBreak/>
        <w:t>References</w:t>
      </w:r>
      <w:bookmarkEnd w:id="8"/>
    </w:p>
    <w:p w14:paraId="3170F047" w14:textId="77777777" w:rsidR="00931100" w:rsidRPr="00931100" w:rsidRDefault="00931100" w:rsidP="00931100">
      <w:r w:rsidRPr="00931100">
        <w:t xml:space="preserve">Australian Bureau of Statistics. (2026a). </w:t>
      </w:r>
      <w:r w:rsidRPr="00931100">
        <w:rPr>
          <w:i/>
          <w:iCs/>
        </w:rPr>
        <w:t>Consumer price index, Australia, February 2026</w:t>
      </w:r>
      <w:r w:rsidRPr="00931100">
        <w:t xml:space="preserve">. </w:t>
      </w:r>
      <w:hyperlink r:id="rId10" w:tgtFrame="_new" w:history="1">
        <w:r w:rsidRPr="00931100">
          <w:rPr>
            <w:rStyle w:val="Hyperlink"/>
            <w:sz w:val="21"/>
          </w:rPr>
          <w:t>https://www.abs.gov.au/statistics/economy/price-indexes-and-inflation/consumer-price-index-australia/latest-release</w:t>
        </w:r>
      </w:hyperlink>
    </w:p>
    <w:p w14:paraId="54BEB473" w14:textId="77777777" w:rsidR="00931100" w:rsidRPr="00931100" w:rsidRDefault="00931100" w:rsidP="00931100">
      <w:r w:rsidRPr="00931100">
        <w:t xml:space="preserve">Australian Bureau of Statistics. (2026b). </w:t>
      </w:r>
      <w:r w:rsidRPr="00931100">
        <w:rPr>
          <w:i/>
          <w:iCs/>
        </w:rPr>
        <w:t>Regional population, 2024–25 financial year</w:t>
      </w:r>
      <w:r w:rsidRPr="00931100">
        <w:t xml:space="preserve">. </w:t>
      </w:r>
      <w:hyperlink r:id="rId11" w:tgtFrame="_new" w:history="1">
        <w:r w:rsidRPr="00931100">
          <w:rPr>
            <w:rStyle w:val="Hyperlink"/>
            <w:sz w:val="21"/>
          </w:rPr>
          <w:t>https://www.abs.gov.au/statistics/people/population/regional-population/latest-release</w:t>
        </w:r>
      </w:hyperlink>
    </w:p>
    <w:p w14:paraId="331D85C2" w14:textId="77777777" w:rsidR="00931100" w:rsidRPr="00931100" w:rsidRDefault="00931100" w:rsidP="00931100">
      <w:r w:rsidRPr="00931100">
        <w:t xml:space="preserve">Brown, T., &amp; Wyatt, J. (2010). Design thinking for social innovation. </w:t>
      </w:r>
      <w:r w:rsidRPr="00931100">
        <w:rPr>
          <w:i/>
          <w:iCs/>
        </w:rPr>
        <w:t>Stanford Social Innovation Review, 8</w:t>
      </w:r>
      <w:r w:rsidRPr="00931100">
        <w:t>(1), 30–35.</w:t>
      </w:r>
    </w:p>
    <w:p w14:paraId="0EA11F1F" w14:textId="77777777" w:rsidR="00931100" w:rsidRPr="00931100" w:rsidRDefault="00931100" w:rsidP="00931100">
      <w:r w:rsidRPr="00931100">
        <w:t xml:space="preserve">Department of Climate Change, Energy, the Environment and Water. (2025). </w:t>
      </w:r>
      <w:r w:rsidRPr="00931100">
        <w:rPr>
          <w:i/>
          <w:iCs/>
        </w:rPr>
        <w:t>Reducing Australia’s food waste</w:t>
      </w:r>
      <w:r w:rsidRPr="00931100">
        <w:t xml:space="preserve">. </w:t>
      </w:r>
      <w:hyperlink r:id="rId12" w:tgtFrame="_new" w:history="1">
        <w:r w:rsidRPr="00931100">
          <w:rPr>
            <w:rStyle w:val="Hyperlink"/>
            <w:sz w:val="21"/>
          </w:rPr>
          <w:t>https://www.dcceew.gov.au/environment/protection/waste/food-waste</w:t>
        </w:r>
      </w:hyperlink>
    </w:p>
    <w:p w14:paraId="5633B237" w14:textId="77777777" w:rsidR="00931100" w:rsidRPr="00931100" w:rsidRDefault="00931100" w:rsidP="00931100">
      <w:r w:rsidRPr="00931100">
        <w:t xml:space="preserve">Food Standards Australia New Zealand. (2025a). </w:t>
      </w:r>
      <w:r w:rsidRPr="00931100">
        <w:rPr>
          <w:i/>
          <w:iCs/>
        </w:rPr>
        <w:t>Food safety standards (Chapter 3)</w:t>
      </w:r>
      <w:r w:rsidRPr="00931100">
        <w:t xml:space="preserve">. </w:t>
      </w:r>
      <w:hyperlink r:id="rId13" w:tgtFrame="_new" w:history="1">
        <w:r w:rsidRPr="00931100">
          <w:rPr>
            <w:rStyle w:val="Hyperlink"/>
            <w:sz w:val="21"/>
          </w:rPr>
          <w:t>https://www.foodstandards.gov.au/business/food-safety-standards</w:t>
        </w:r>
      </w:hyperlink>
    </w:p>
    <w:p w14:paraId="1848CC89" w14:textId="77777777" w:rsidR="00931100" w:rsidRPr="00931100" w:rsidRDefault="00931100" w:rsidP="00931100">
      <w:r w:rsidRPr="00931100">
        <w:t xml:space="preserve">Food Standards Australia New Zealand. (2025b). </w:t>
      </w:r>
      <w:r w:rsidRPr="00931100">
        <w:rPr>
          <w:i/>
          <w:iCs/>
        </w:rPr>
        <w:t>Standard 3.2.2: Food safety practices and general requirements</w:t>
      </w:r>
      <w:r w:rsidRPr="00931100">
        <w:t xml:space="preserve">. </w:t>
      </w:r>
      <w:hyperlink r:id="rId14" w:tgtFrame="_new" w:history="1">
        <w:r w:rsidRPr="00931100">
          <w:rPr>
            <w:rStyle w:val="Hyperlink"/>
            <w:sz w:val="21"/>
          </w:rPr>
          <w:t>https://www.foodstandards.gov.au/sites/default/files/publications/SiteAssets/Pages/safefoodaustralia3rd16/Standard%203.2.2%20Food%20Safety%20Practices%20and%20General%20Requirements.pdf</w:t>
        </w:r>
      </w:hyperlink>
    </w:p>
    <w:p w14:paraId="3BDB7478" w14:textId="77777777" w:rsidR="00931100" w:rsidRPr="00931100" w:rsidRDefault="00931100" w:rsidP="00931100">
      <w:r w:rsidRPr="00931100">
        <w:t xml:space="preserve">Foodbank Australia. (2025). </w:t>
      </w:r>
      <w:r w:rsidRPr="00931100">
        <w:rPr>
          <w:i/>
          <w:iCs/>
        </w:rPr>
        <w:t>Foodbank hunger report 2025</w:t>
      </w:r>
      <w:r w:rsidRPr="00931100">
        <w:t xml:space="preserve">. </w:t>
      </w:r>
      <w:hyperlink r:id="rId15" w:tgtFrame="_new" w:history="1">
        <w:r w:rsidRPr="00931100">
          <w:rPr>
            <w:rStyle w:val="Hyperlink"/>
            <w:sz w:val="21"/>
          </w:rPr>
          <w:t>https://reports.foodbank.org.au/foodbank-hunger-report-2025/</w:t>
        </w:r>
      </w:hyperlink>
    </w:p>
    <w:p w14:paraId="6D0FEB1E" w14:textId="77777777" w:rsidR="00931100" w:rsidRPr="00931100" w:rsidRDefault="00931100" w:rsidP="00931100">
      <w:r w:rsidRPr="00931100">
        <w:t xml:space="preserve">Lindberg, R., Lawrence, M., Gold, L., &amp; Friel, S. (2014). Food rescue—An Australian example. </w:t>
      </w:r>
      <w:r w:rsidRPr="00931100">
        <w:rPr>
          <w:i/>
          <w:iCs/>
        </w:rPr>
        <w:t>British Food Journal, 116</w:t>
      </w:r>
      <w:r w:rsidRPr="00931100">
        <w:t xml:space="preserve">(9), 1478–1489. </w:t>
      </w:r>
      <w:hyperlink r:id="rId16" w:tgtFrame="_new" w:history="1">
        <w:r w:rsidRPr="00931100">
          <w:rPr>
            <w:rStyle w:val="Hyperlink"/>
            <w:sz w:val="21"/>
          </w:rPr>
          <w:t>https://doi.org/10.1108/BFJ-01-2014-0053</w:t>
        </w:r>
      </w:hyperlink>
    </w:p>
    <w:p w14:paraId="16BBE1B3" w14:textId="77777777" w:rsidR="00931100" w:rsidRPr="00931100" w:rsidRDefault="00931100" w:rsidP="00931100">
      <w:r w:rsidRPr="00931100">
        <w:t xml:space="preserve">Office of the Australian Information Commissioner. (n.d.). </w:t>
      </w:r>
      <w:r w:rsidRPr="00931100">
        <w:rPr>
          <w:i/>
          <w:iCs/>
        </w:rPr>
        <w:t>The Privacy Act</w:t>
      </w:r>
      <w:r w:rsidRPr="00931100">
        <w:t xml:space="preserve">. </w:t>
      </w:r>
      <w:hyperlink r:id="rId17" w:tgtFrame="_new" w:history="1">
        <w:r w:rsidRPr="00931100">
          <w:rPr>
            <w:rStyle w:val="Hyperlink"/>
            <w:sz w:val="21"/>
          </w:rPr>
          <w:t>https://www.oaic.gov.au/privacy/privacy-legislation/the-privacy-act</w:t>
        </w:r>
      </w:hyperlink>
    </w:p>
    <w:p w14:paraId="40CE56FC" w14:textId="77777777" w:rsidR="00931100" w:rsidRPr="00931100" w:rsidRDefault="00931100" w:rsidP="00931100">
      <w:r w:rsidRPr="00931100">
        <w:lastRenderedPageBreak/>
        <w:t xml:space="preserve">Office of the Australian Information Commissioner. (2024). </w:t>
      </w:r>
      <w:r w:rsidRPr="00931100">
        <w:rPr>
          <w:i/>
          <w:iCs/>
        </w:rPr>
        <w:t>Data breach preparation and response</w:t>
      </w:r>
      <w:r w:rsidRPr="00931100">
        <w:t xml:space="preserve">. </w:t>
      </w:r>
      <w:hyperlink r:id="rId18" w:tgtFrame="_new" w:history="1">
        <w:r w:rsidRPr="00931100">
          <w:rPr>
            <w:rStyle w:val="Hyperlink"/>
            <w:sz w:val="21"/>
          </w:rPr>
          <w:t>https://www.oaic.gov.au/privacy/privacy-guidance-for-organisations-and-government-agencies/preventing-preparing-for-and-responding-to-data-breaches/data-breach-preparation-and-response</w:t>
        </w:r>
      </w:hyperlink>
    </w:p>
    <w:p w14:paraId="46EBDBE9" w14:textId="77777777" w:rsidR="00931100" w:rsidRPr="00931100" w:rsidRDefault="00931100" w:rsidP="00931100">
      <w:r w:rsidRPr="00931100">
        <w:t xml:space="preserve">Osterwalder, A., &amp; Pigneur, Y. (2010). </w:t>
      </w:r>
      <w:r w:rsidRPr="00931100">
        <w:rPr>
          <w:i/>
          <w:iCs/>
        </w:rPr>
        <w:t>Business model generation</w:t>
      </w:r>
      <w:r w:rsidRPr="00931100">
        <w:t>. John Wiley &amp; Sons.</w:t>
      </w:r>
    </w:p>
    <w:p w14:paraId="616055BB" w14:textId="77777777" w:rsidR="00931100" w:rsidRPr="00931100" w:rsidRDefault="00931100" w:rsidP="00931100">
      <w:proofErr w:type="spellStart"/>
      <w:r w:rsidRPr="00931100">
        <w:t>OzHarvest</w:t>
      </w:r>
      <w:proofErr w:type="spellEnd"/>
      <w:r w:rsidRPr="00931100">
        <w:t xml:space="preserve">. (n.d.). </w:t>
      </w:r>
      <w:r w:rsidRPr="00931100">
        <w:rPr>
          <w:i/>
          <w:iCs/>
        </w:rPr>
        <w:t xml:space="preserve">Australia’s leading food rescue </w:t>
      </w:r>
      <w:proofErr w:type="spellStart"/>
      <w:r w:rsidRPr="00931100">
        <w:rPr>
          <w:i/>
          <w:iCs/>
        </w:rPr>
        <w:t>organisation</w:t>
      </w:r>
      <w:proofErr w:type="spellEnd"/>
      <w:r w:rsidRPr="00931100">
        <w:t xml:space="preserve">. </w:t>
      </w:r>
      <w:hyperlink r:id="rId19" w:tgtFrame="_new" w:history="1">
        <w:r w:rsidRPr="00931100">
          <w:rPr>
            <w:rStyle w:val="Hyperlink"/>
            <w:sz w:val="21"/>
          </w:rPr>
          <w:t>https://www.ozharvest.org/</w:t>
        </w:r>
      </w:hyperlink>
    </w:p>
    <w:p w14:paraId="47C5C9D7" w14:textId="77777777" w:rsidR="00931100" w:rsidRPr="00931100" w:rsidRDefault="00931100" w:rsidP="00931100">
      <w:r w:rsidRPr="00931100">
        <w:t xml:space="preserve">Porter, M. E. (2008). The five competitive forces that shape strategy. </w:t>
      </w:r>
      <w:r w:rsidRPr="00931100">
        <w:rPr>
          <w:i/>
          <w:iCs/>
        </w:rPr>
        <w:t>Harvard Business Review, 86</w:t>
      </w:r>
      <w:r w:rsidRPr="00931100">
        <w:t>(1), 78–93.</w:t>
      </w:r>
    </w:p>
    <w:p w14:paraId="09DD0DF5" w14:textId="77777777" w:rsidR="00931100" w:rsidRPr="00931100" w:rsidRDefault="00931100" w:rsidP="00931100">
      <w:r w:rsidRPr="00931100">
        <w:t xml:space="preserve">Ries, E. (2011). </w:t>
      </w:r>
      <w:r w:rsidRPr="00931100">
        <w:rPr>
          <w:i/>
          <w:iCs/>
        </w:rPr>
        <w:t>The lean startup</w:t>
      </w:r>
      <w:r w:rsidRPr="00931100">
        <w:t>. Crown Business.</w:t>
      </w:r>
    </w:p>
    <w:p w14:paraId="006D231C" w14:textId="77777777" w:rsidR="00931100" w:rsidRPr="00931100" w:rsidRDefault="00931100" w:rsidP="00931100">
      <w:proofErr w:type="spellStart"/>
      <w:r w:rsidRPr="00931100">
        <w:t>SecondBite</w:t>
      </w:r>
      <w:proofErr w:type="spellEnd"/>
      <w:r w:rsidRPr="00931100">
        <w:t xml:space="preserve">. (2024). </w:t>
      </w:r>
      <w:r w:rsidRPr="00931100">
        <w:rPr>
          <w:i/>
          <w:iCs/>
        </w:rPr>
        <w:t>Annual report FY2024</w:t>
      </w:r>
      <w:r w:rsidRPr="00931100">
        <w:t xml:space="preserve">. </w:t>
      </w:r>
      <w:hyperlink r:id="rId20" w:tgtFrame="_new" w:history="1">
        <w:r w:rsidRPr="00931100">
          <w:rPr>
            <w:rStyle w:val="Hyperlink"/>
            <w:sz w:val="21"/>
          </w:rPr>
          <w:t>https://secondbite.org/wp-content/uploads/2025/03/SB-FY24-Annual-Report_DigitalCompressed.pdf</w:t>
        </w:r>
      </w:hyperlink>
    </w:p>
    <w:p w14:paraId="75E89800" w14:textId="77777777" w:rsidR="00931100" w:rsidRPr="00931100" w:rsidRDefault="00931100" w:rsidP="00931100">
      <w:r w:rsidRPr="00931100">
        <w:t xml:space="preserve">Too Good </w:t>
      </w:r>
      <w:proofErr w:type="gramStart"/>
      <w:r w:rsidRPr="00931100">
        <w:t>To</w:t>
      </w:r>
      <w:proofErr w:type="gramEnd"/>
      <w:r w:rsidRPr="00931100">
        <w:t xml:space="preserve"> Go. (2024). </w:t>
      </w:r>
      <w:r w:rsidRPr="00931100">
        <w:rPr>
          <w:i/>
          <w:iCs/>
        </w:rPr>
        <w:t xml:space="preserve">Too Good </w:t>
      </w:r>
      <w:proofErr w:type="gramStart"/>
      <w:r w:rsidRPr="00931100">
        <w:rPr>
          <w:i/>
          <w:iCs/>
        </w:rPr>
        <w:t>To</w:t>
      </w:r>
      <w:proofErr w:type="gramEnd"/>
      <w:r w:rsidRPr="00931100">
        <w:rPr>
          <w:i/>
          <w:iCs/>
        </w:rPr>
        <w:t xml:space="preserve"> Go launches in Sydney</w:t>
      </w:r>
      <w:r w:rsidRPr="00931100">
        <w:t xml:space="preserve">. </w:t>
      </w:r>
      <w:hyperlink r:id="rId21" w:tgtFrame="_new" w:history="1">
        <w:r w:rsidRPr="00931100">
          <w:rPr>
            <w:rStyle w:val="Hyperlink"/>
            <w:sz w:val="21"/>
          </w:rPr>
          <w:t>https://www.toogoodtogo.com/en-au/press/sydneylaunch</w:t>
        </w:r>
      </w:hyperlink>
    </w:p>
    <w:p w14:paraId="771C25FE" w14:textId="77777777" w:rsidR="00931100" w:rsidRPr="00931100" w:rsidRDefault="00931100" w:rsidP="00931100">
      <w:r w:rsidRPr="00931100">
        <w:t xml:space="preserve">Yume Food Australia. (n.d.). </w:t>
      </w:r>
      <w:r w:rsidRPr="00931100">
        <w:rPr>
          <w:i/>
          <w:iCs/>
        </w:rPr>
        <w:t>Reduce food waste the easy way</w:t>
      </w:r>
      <w:r w:rsidRPr="00931100">
        <w:t xml:space="preserve">. </w:t>
      </w:r>
      <w:hyperlink r:id="rId22" w:tgtFrame="_new" w:history="1">
        <w:r w:rsidRPr="00931100">
          <w:rPr>
            <w:rStyle w:val="Hyperlink"/>
            <w:sz w:val="21"/>
          </w:rPr>
          <w:t>https://www.yumefood.com.au/</w:t>
        </w:r>
      </w:hyperlink>
    </w:p>
    <w:p w14:paraId="3679DE96" w14:textId="77777777" w:rsidR="00875241" w:rsidRPr="0048143A" w:rsidRDefault="00000000" w:rsidP="00931100">
      <w:r w:rsidRPr="0048143A">
        <w:br w:type="page"/>
      </w:r>
    </w:p>
    <w:p w14:paraId="7C5CEF8A" w14:textId="77777777" w:rsidR="00875241" w:rsidRPr="0048143A" w:rsidRDefault="00000000" w:rsidP="00931100">
      <w:pPr>
        <w:pStyle w:val="Heading1"/>
      </w:pPr>
      <w:bookmarkStart w:id="9" w:name="_Toc227434274"/>
      <w:r w:rsidRPr="0048143A">
        <w:lastRenderedPageBreak/>
        <w:t>Appendix A: Business Model Canvas from AT2</w:t>
      </w:r>
      <w:bookmarkEnd w:id="9"/>
    </w:p>
    <w:p w14:paraId="145E732D" w14:textId="77777777" w:rsidR="00875241" w:rsidRPr="0048143A" w:rsidRDefault="00000000" w:rsidP="00931100">
      <w:r w:rsidRPr="0048143A">
        <w:t>The appendix below reproduces the Business Model Canvas contained in the AT2 presentation and used as the strategic basis for this business plan.</w:t>
      </w:r>
    </w:p>
    <w:p w14:paraId="23F87CDA" w14:textId="77777777" w:rsidR="00931100" w:rsidRDefault="00000000" w:rsidP="00931100">
      <w:pPr>
        <w:keepNext/>
      </w:pPr>
      <w:r w:rsidRPr="0048143A">
        <w:rPr>
          <w:noProof/>
        </w:rPr>
        <w:drawing>
          <wp:inline distT="0" distB="0" distL="0" distR="0" wp14:anchorId="48867F2B" wp14:editId="6AC9744D">
            <wp:extent cx="5943600" cy="33411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png"/>
                    <pic:cNvPicPr/>
                  </pic:nvPicPr>
                  <pic:blipFill>
                    <a:blip r:embed="rId23"/>
                    <a:stretch>
                      <a:fillRect/>
                    </a:stretch>
                  </pic:blipFill>
                  <pic:spPr>
                    <a:xfrm>
                      <a:off x="0" y="0"/>
                      <a:ext cx="5943600" cy="3341187"/>
                    </a:xfrm>
                    <a:prstGeom prst="rect">
                      <a:avLst/>
                    </a:prstGeom>
                  </pic:spPr>
                </pic:pic>
              </a:graphicData>
            </a:graphic>
          </wp:inline>
        </w:drawing>
      </w:r>
    </w:p>
    <w:p w14:paraId="06754A5C" w14:textId="25067D1D" w:rsidR="00875241" w:rsidRPr="0048143A" w:rsidRDefault="00931100" w:rsidP="00931100">
      <w:pPr>
        <w:pStyle w:val="Caption"/>
        <w:spacing w:line="480" w:lineRule="auto"/>
      </w:pPr>
      <w:r>
        <w:t xml:space="preserve">Figure </w:t>
      </w:r>
      <w:fldSimple w:instr=" SEQ Figure \* ARABIC ">
        <w:r>
          <w:rPr>
            <w:noProof/>
          </w:rPr>
          <w:t>1</w:t>
        </w:r>
      </w:fldSimple>
      <w:r>
        <w:t xml:space="preserve"> </w:t>
      </w:r>
      <w:proofErr w:type="spellStart"/>
      <w:r w:rsidRPr="002925BB">
        <w:t>FoodLink</w:t>
      </w:r>
      <w:proofErr w:type="spellEnd"/>
      <w:r w:rsidRPr="002925BB">
        <w:t xml:space="preserve"> Australia Business Model Canvas extracted from the AT2 presentation</w:t>
      </w:r>
    </w:p>
    <w:p w14:paraId="439BBBF5" w14:textId="1FE5AEEE" w:rsidR="00875241" w:rsidRPr="0048143A" w:rsidRDefault="00000000" w:rsidP="00931100">
      <w:r w:rsidRPr="0048143A">
        <w:t xml:space="preserve">Source: </w:t>
      </w:r>
      <w:proofErr w:type="spellStart"/>
      <w:r w:rsidRPr="0048143A">
        <w:t>FoodLink</w:t>
      </w:r>
      <w:proofErr w:type="spellEnd"/>
      <w:r w:rsidRPr="0048143A">
        <w:t xml:space="preserve"> Australia AT2 presentation </w:t>
      </w:r>
    </w:p>
    <w:sectPr w:rsidR="00875241" w:rsidRPr="0048143A" w:rsidSect="00034616">
      <w:headerReference w:type="default" r:id="rId24"/>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FFDF1" w14:textId="77777777" w:rsidR="00662033" w:rsidRDefault="00662033" w:rsidP="00931100">
      <w:r>
        <w:separator/>
      </w:r>
    </w:p>
  </w:endnote>
  <w:endnote w:type="continuationSeparator" w:id="0">
    <w:p w14:paraId="50AA384A" w14:textId="77777777" w:rsidR="00662033" w:rsidRDefault="00662033" w:rsidP="0093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ill Sans MT">
    <w:charset w:val="00"/>
    <w:family w:val="swiss"/>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13D5A" w14:textId="77777777" w:rsidR="00662033" w:rsidRDefault="00662033" w:rsidP="00931100">
      <w:r>
        <w:separator/>
      </w:r>
    </w:p>
  </w:footnote>
  <w:footnote w:type="continuationSeparator" w:id="0">
    <w:p w14:paraId="2D9B1199" w14:textId="77777777" w:rsidR="00662033" w:rsidRDefault="00662033" w:rsidP="00931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5450" w14:textId="77777777" w:rsidR="00931100" w:rsidRPr="00931100" w:rsidRDefault="00931100" w:rsidP="00931100">
    <w:pPr>
      <w:pStyle w:val="Header"/>
      <w:rPr>
        <w:b/>
        <w:bCs/>
      </w:rPr>
    </w:pPr>
    <w:r w:rsidRPr="00931100">
      <w:rPr>
        <w:b/>
        <w:bCs/>
      </w:rPr>
      <w:t xml:space="preserve">Student Numbers and Names: </w:t>
    </w:r>
    <w:r w:rsidRPr="00931100">
      <w:t>CIM10941 – Babita Maya Gurung; CIM11219 – Bibek Kumar Pakhrin; CIM11729 – Ishara Adhikari; CIM11031 – Alisha</w:t>
    </w:r>
  </w:p>
  <w:p w14:paraId="1ABF65E2" w14:textId="69025D81" w:rsidR="00931100" w:rsidRDefault="00931100">
    <w:pPr>
      <w:pStyle w:val="Header"/>
    </w:pPr>
    <w:r w:rsidRPr="00AD32ED">
      <w:rPr>
        <w:b/>
        <w:bCs/>
      </w:rPr>
      <w:t>Word Count:</w:t>
    </w:r>
    <w:r>
      <w:t xml:space="preserve"> </w:t>
    </w:r>
    <w:r w:rsidR="004355BD">
      <w:rPr>
        <w:rFonts w:cs="Arial"/>
      </w:rPr>
      <w:t>2855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6894536"/>
    <w:multiLevelType w:val="multilevel"/>
    <w:tmpl w:val="29B8DD9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4F815BC7"/>
    <w:multiLevelType w:val="hybridMultilevel"/>
    <w:tmpl w:val="AC104BA0"/>
    <w:lvl w:ilvl="0" w:tplc="0409000D">
      <w:start w:val="1"/>
      <w:numFmt w:val="bullet"/>
      <w:lvlText w:val=""/>
      <w:lvlJc w:val="left"/>
      <w:pPr>
        <w:ind w:left="720" w:hanging="360"/>
      </w:pPr>
      <w:rPr>
        <w:rFonts w:ascii="Wingdings" w:hAnsi="Wingdings" w:hint="default"/>
        <w:sz w:val="36"/>
        <w:szCs w:val="3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16D6DE6"/>
    <w:multiLevelType w:val="hybridMultilevel"/>
    <w:tmpl w:val="A000A91C"/>
    <w:lvl w:ilvl="0" w:tplc="B380A40A">
      <w:start w:val="1"/>
      <w:numFmt w:val="decimal"/>
      <w:lvlText w:val="%1."/>
      <w:lvlJc w:val="left"/>
      <w:pPr>
        <w:ind w:left="360" w:hanging="360"/>
      </w:pPr>
      <w:rPr>
        <w:rFonts w:eastAsiaTheme="minorEastAsia"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36533928">
    <w:abstractNumId w:val="8"/>
  </w:num>
  <w:num w:numId="2" w16cid:durableId="1483736233">
    <w:abstractNumId w:val="6"/>
  </w:num>
  <w:num w:numId="3" w16cid:durableId="1542592482">
    <w:abstractNumId w:val="5"/>
  </w:num>
  <w:num w:numId="4" w16cid:durableId="946694063">
    <w:abstractNumId w:val="4"/>
  </w:num>
  <w:num w:numId="5" w16cid:durableId="787166567">
    <w:abstractNumId w:val="7"/>
  </w:num>
  <w:num w:numId="6" w16cid:durableId="2047176547">
    <w:abstractNumId w:val="3"/>
  </w:num>
  <w:num w:numId="7" w16cid:durableId="71897395">
    <w:abstractNumId w:val="2"/>
  </w:num>
  <w:num w:numId="8" w16cid:durableId="1979648199">
    <w:abstractNumId w:val="1"/>
  </w:num>
  <w:num w:numId="9" w16cid:durableId="622078874">
    <w:abstractNumId w:val="0"/>
  </w:num>
  <w:num w:numId="10" w16cid:durableId="848561757">
    <w:abstractNumId w:val="9"/>
  </w:num>
  <w:num w:numId="11" w16cid:durableId="127745554">
    <w:abstractNumId w:val="11"/>
  </w:num>
  <w:num w:numId="12" w16cid:durableId="10273678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038F"/>
    <w:rsid w:val="001041EF"/>
    <w:rsid w:val="0015074B"/>
    <w:rsid w:val="001807C3"/>
    <w:rsid w:val="00207848"/>
    <w:rsid w:val="002325DE"/>
    <w:rsid w:val="0029639D"/>
    <w:rsid w:val="002F0BBC"/>
    <w:rsid w:val="00326F90"/>
    <w:rsid w:val="00327785"/>
    <w:rsid w:val="00352C1B"/>
    <w:rsid w:val="003A0B84"/>
    <w:rsid w:val="003C0560"/>
    <w:rsid w:val="003F6F7E"/>
    <w:rsid w:val="004355BD"/>
    <w:rsid w:val="0048143A"/>
    <w:rsid w:val="00504613"/>
    <w:rsid w:val="0050605C"/>
    <w:rsid w:val="00565A90"/>
    <w:rsid w:val="005D0194"/>
    <w:rsid w:val="00613B67"/>
    <w:rsid w:val="00662033"/>
    <w:rsid w:val="00856BDA"/>
    <w:rsid w:val="00875241"/>
    <w:rsid w:val="008E634B"/>
    <w:rsid w:val="00930B6A"/>
    <w:rsid w:val="00931100"/>
    <w:rsid w:val="009343A4"/>
    <w:rsid w:val="00964528"/>
    <w:rsid w:val="00AA1D8D"/>
    <w:rsid w:val="00B47730"/>
    <w:rsid w:val="00BC4D42"/>
    <w:rsid w:val="00C861D8"/>
    <w:rsid w:val="00CB0664"/>
    <w:rsid w:val="00D0554D"/>
    <w:rsid w:val="00E73795"/>
    <w:rsid w:val="00EC7F65"/>
    <w:rsid w:val="00EE4D65"/>
    <w:rsid w:val="00FA3E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D48E1A"/>
  <w14:defaultImageDpi w14:val="300"/>
  <w15:docId w15:val="{2FB991A6-7B27-0340-95E2-0AC5BEED3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100"/>
    <w:pPr>
      <w:spacing w:after="120" w:line="480" w:lineRule="auto"/>
      <w:jc w:val="both"/>
    </w:pPr>
    <w:rPr>
      <w:rFonts w:ascii="Gill Sans MT" w:hAnsi="Gill Sans MT"/>
      <w:sz w:val="24"/>
      <w:szCs w:val="24"/>
    </w:rPr>
  </w:style>
  <w:style w:type="paragraph" w:styleId="Heading1">
    <w:name w:val="heading 1"/>
    <w:basedOn w:val="Normal"/>
    <w:next w:val="Normal"/>
    <w:link w:val="Heading1Char"/>
    <w:uiPriority w:val="9"/>
    <w:qFormat/>
    <w:rsid w:val="00931100"/>
    <w:pPr>
      <w:keepNext/>
      <w:keepLines/>
      <w:numPr>
        <w:numId w:val="10"/>
      </w:numPr>
      <w:spacing w:before="200" w:after="8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FC693F"/>
    <w:pPr>
      <w:keepNext/>
      <w:keepLines/>
      <w:numPr>
        <w:ilvl w:val="1"/>
        <w:numId w:val="10"/>
      </w:numPr>
      <w:spacing w:before="200" w:after="80"/>
      <w:outlineLvl w:val="1"/>
    </w:pPr>
    <w:rPr>
      <w:rFonts w:asciiTheme="majorHAnsi" w:eastAsiaTheme="majorEastAsia" w:hAnsiTheme="majorHAnsi" w:cstheme="majorBidi"/>
      <w:b/>
      <w:bCs/>
      <w:color w:val="1F4E3D"/>
      <w:szCs w:val="26"/>
    </w:rPr>
  </w:style>
  <w:style w:type="paragraph" w:styleId="Heading3">
    <w:name w:val="heading 3"/>
    <w:basedOn w:val="Normal"/>
    <w:next w:val="Normal"/>
    <w:link w:val="Heading3Char"/>
    <w:uiPriority w:val="9"/>
    <w:unhideWhenUsed/>
    <w:qFormat/>
    <w:rsid w:val="00FC693F"/>
    <w:pPr>
      <w:keepNext/>
      <w:keepLines/>
      <w:numPr>
        <w:ilvl w:val="2"/>
        <w:numId w:val="10"/>
      </w:numPr>
      <w:spacing w:before="200" w:after="80"/>
      <w:outlineLvl w:val="2"/>
    </w:pPr>
    <w:rPr>
      <w:rFonts w:asciiTheme="majorHAnsi" w:eastAsiaTheme="majorEastAsia" w:hAnsiTheme="majorHAnsi" w:cstheme="majorBidi"/>
      <w:b/>
      <w:bCs/>
      <w:color w:val="1F4E3D"/>
    </w:rPr>
  </w:style>
  <w:style w:type="paragraph" w:styleId="Heading4">
    <w:name w:val="heading 4"/>
    <w:basedOn w:val="Normal"/>
    <w:next w:val="Normal"/>
    <w:link w:val="Heading4Char"/>
    <w:uiPriority w:val="9"/>
    <w:semiHidden/>
    <w:unhideWhenUsed/>
    <w:qFormat/>
    <w:rsid w:val="00FC693F"/>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numPr>
        <w:ilvl w:val="7"/>
        <w:numId w:val="10"/>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931100"/>
    <w:rPr>
      <w:rFonts w:ascii="Gill Sans MT" w:eastAsiaTheme="majorEastAsia" w:hAnsi="Gill Sans MT" w:cstheme="majorBidi"/>
      <w:b/>
      <w:bCs/>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48143A"/>
    <w:pPr>
      <w:spacing w:after="100"/>
    </w:pPr>
  </w:style>
  <w:style w:type="character" w:styleId="Hyperlink">
    <w:name w:val="Hyperlink"/>
    <w:basedOn w:val="DefaultParagraphFont"/>
    <w:uiPriority w:val="99"/>
    <w:unhideWhenUsed/>
    <w:rsid w:val="0048143A"/>
    <w:rPr>
      <w:color w:val="0000FF" w:themeColor="hyperlink"/>
      <w:u w:val="single"/>
    </w:rPr>
  </w:style>
  <w:style w:type="character" w:styleId="UnresolvedMention">
    <w:name w:val="Unresolved Mention"/>
    <w:basedOn w:val="DefaultParagraphFont"/>
    <w:uiPriority w:val="99"/>
    <w:semiHidden/>
    <w:unhideWhenUsed/>
    <w:rsid w:val="0048143A"/>
    <w:rPr>
      <w:color w:val="605E5C"/>
      <w:shd w:val="clear" w:color="auto" w:fill="E1DFDD"/>
    </w:rPr>
  </w:style>
  <w:style w:type="character" w:styleId="FollowedHyperlink">
    <w:name w:val="FollowedHyperlink"/>
    <w:basedOn w:val="DefaultParagraphFont"/>
    <w:uiPriority w:val="99"/>
    <w:semiHidden/>
    <w:unhideWhenUsed/>
    <w:rsid w:val="0048143A"/>
    <w:rPr>
      <w:color w:val="800080" w:themeColor="followedHyperlink"/>
      <w:u w:val="single"/>
    </w:rPr>
  </w:style>
  <w:style w:type="table" w:customStyle="1" w:styleId="TableGrid1">
    <w:name w:val="Table Grid1"/>
    <w:basedOn w:val="TableNormal"/>
    <w:next w:val="TableGrid"/>
    <w:uiPriority w:val="39"/>
    <w:qFormat/>
    <w:rsid w:val="00931100"/>
    <w:pPr>
      <w:spacing w:after="0" w:line="240" w:lineRule="auto"/>
    </w:pPr>
    <w:rPr>
      <w:rFonts w:ascii="Times New Roman" w:eastAsia="SimSu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oodstandards.gov.au/business/food-safety-standards" TargetMode="External"/><Relationship Id="rId18" Type="http://schemas.openxmlformats.org/officeDocument/2006/relationships/hyperlink" Target="https://www.oaic.gov.au/privacy/privacy-guidance-for-organisations-and-government-agencies/preventing-preparing-for-and-responding-to-data-breaches/data-breach-preparation-and-respons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toogoodtogo.com/en-au/press/sydneylaunch" TargetMode="External"/><Relationship Id="rId7" Type="http://schemas.openxmlformats.org/officeDocument/2006/relationships/endnotes" Target="endnotes.xml"/><Relationship Id="rId12" Type="http://schemas.openxmlformats.org/officeDocument/2006/relationships/hyperlink" Target="https://www.dcceew.gov.au/environment/protection/waste/food-waste" TargetMode="External"/><Relationship Id="rId17" Type="http://schemas.openxmlformats.org/officeDocument/2006/relationships/hyperlink" Target="https://www.oaic.gov.au/privacy/privacy-legislation/the-privacy-ac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08/BFJ-01-2014-0053" TargetMode="External"/><Relationship Id="rId20" Type="http://schemas.openxmlformats.org/officeDocument/2006/relationships/hyperlink" Target="https://secondbite.org/wp-content/uploads/2025/03/SB-FY24-Annual-Report_DigitalCompresse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bs.gov.au/statistics/people/population/regional-population/latest-releas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reports.foodbank.org.au/foodbank-hunger-report-2025/" TargetMode="External"/><Relationship Id="rId23" Type="http://schemas.openxmlformats.org/officeDocument/2006/relationships/image" Target="media/image2.png"/><Relationship Id="rId10" Type="http://schemas.openxmlformats.org/officeDocument/2006/relationships/hyperlink" Target="https://www.abs.gov.au/statistics/economy/price-indexes-and-inflation/consumer-price-index-australia/latest-release" TargetMode="External"/><Relationship Id="rId19" Type="http://schemas.openxmlformats.org/officeDocument/2006/relationships/hyperlink" Target="https://www.ozharvest.org/" TargetMode="External"/><Relationship Id="rId4" Type="http://schemas.openxmlformats.org/officeDocument/2006/relationships/settings" Target="settings.xml"/><Relationship Id="rId9" Type="http://schemas.openxmlformats.org/officeDocument/2006/relationships/hyperlink" Target="mailto:tamangbibek192@gmail.com" TargetMode="External"/><Relationship Id="rId14" Type="http://schemas.openxmlformats.org/officeDocument/2006/relationships/hyperlink" Target="https://www.foodstandards.gov.au/sites/default/files/publications/SiteAssets/Pages/safefoodaustralia3rd16/Standard%203.2.2%20Food%20Safety%20Practices%20and%20General%20Requirements.pdf" TargetMode="External"/><Relationship Id="rId22" Type="http://schemas.openxmlformats.org/officeDocument/2006/relationships/hyperlink" Target="https://www.yumefood.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4221</Words>
  <Characters>24066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Dipesh</cp:lastModifiedBy>
  <cp:revision>54</cp:revision>
  <dcterms:created xsi:type="dcterms:W3CDTF">2013-12-23T23:15:00Z</dcterms:created>
  <dcterms:modified xsi:type="dcterms:W3CDTF">2026-04-18T16:12:00Z</dcterms:modified>
  <cp:category/>
</cp:coreProperties>
</file>