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D508E" w14:textId="77777777" w:rsidR="006F48BC" w:rsidRDefault="00000000" w:rsidP="00A37A02">
      <w:pPr>
        <w:jc w:val="center"/>
      </w:pPr>
      <w:r>
        <w:rPr>
          <w:b/>
          <w:sz w:val="32"/>
        </w:rPr>
        <w:t>Ethical Decision-Making in a Confidentiality and Privacy Dilemma:</w:t>
      </w:r>
      <w:r>
        <w:rPr>
          <w:b/>
          <w:sz w:val="32"/>
        </w:rPr>
        <w:br/>
        <w:t>An Integrative Reflective Analysis</w:t>
      </w:r>
    </w:p>
    <w:p w14:paraId="31E94BCF" w14:textId="77777777" w:rsidR="006F48BC" w:rsidRDefault="00000000" w:rsidP="00A37A02">
      <w:r>
        <w:br w:type="page"/>
      </w:r>
    </w:p>
    <w:p w14:paraId="5E0E2228" w14:textId="77777777" w:rsidR="006F48BC" w:rsidRPr="00144AA4" w:rsidRDefault="00000000" w:rsidP="00A37A02">
      <w:pPr>
        <w:pStyle w:val="Heading1"/>
      </w:pPr>
      <w:r w:rsidRPr="00144AA4">
        <w:lastRenderedPageBreak/>
        <w:t>The Experience</w:t>
      </w:r>
    </w:p>
    <w:p w14:paraId="0E7D6377" w14:textId="77777777" w:rsidR="00DD45FC" w:rsidRDefault="00DD45FC" w:rsidP="00DD45FC">
      <w:r>
        <w:t>dilemma was confidentiality and privacy: I had to make my contribution to a powerful, evidenced-based report and I had to safeguard the dignity, identity and personal information of the individuals that were represented in the content.</w:t>
      </w:r>
    </w:p>
    <w:p w14:paraId="7B5D7E81" w14:textId="77777777" w:rsidR="00DD45FC" w:rsidRDefault="00DD45FC" w:rsidP="00DD45FC">
      <w:r>
        <w:t>Our group was given a stack of comments and notes related to services in the activity which contained a bit more information than was needed to analyze it. Others were of an ordinary nature like preferences of customers, and the themes of complaints. The other information was more confidential such as names, contact information, social media identifiers, personal situations and emotional narratives of the experiences of the customers. One of the group members told us to directly copy the most dramatic remarks to our slides since the phraseology would render the report more persuasive. The other recommended was to send the entire file with a personal messaging application so that all could have a quick access to the file. Initially, this proved to be a viable solution since the pressure to assess was great, the deadline was near and I desired the group to perform well.</w:t>
      </w:r>
    </w:p>
    <w:p w14:paraId="4CCB167F" w14:textId="77777777" w:rsidR="00DD45FC" w:rsidRDefault="00DD45FC" w:rsidP="00DD45FC">
      <w:r>
        <w:t>This is when my ethical uneasiness began as I was picturing that the information was about me or someone in my family. I understood that the question was not that we had permission to use the data, but that we were treating the people who were behind the data as people and not evidence. Studies of online information sharing indicate that individuals have a complex decision regarding the information to share and hide, and that sharing information is highly influenced by context, perceived control and trust (Shulman et al., 2024). On the same note, the privacy policy work presents the argument that consent can be ethically weak in cases where the user lacks full understanding on how their data will be collected, processed or reused (Hanlon and Jones, 2026). These concepts made me realize that even when I am using identifiable information in a student report, even though it is used in learning activities, it can cause some harm.</w:t>
      </w:r>
    </w:p>
    <w:p w14:paraId="2FCACFB9" w14:textId="262AD4BD" w:rsidR="00DD45FC" w:rsidRDefault="00DD45FC" w:rsidP="00DD45FC">
      <w:r>
        <w:t xml:space="preserve">The individuals were the group members, the lecturer as the ethical authority to the activity and the individuals who had their information featured in the material. My first reaction was apprehensive but not ideal. I did not confront the group immediately in such a confident manner as I was worried that I might cause stalling in the group or sound too critical. We discussed it, and I proposed that we take out names, contact information and unwarranted information about myself, turn direct quotes into brief </w:t>
      </w:r>
      <w:proofErr w:type="spellStart"/>
      <w:r>
        <w:t>anonymised</w:t>
      </w:r>
      <w:proofErr w:type="spellEnd"/>
      <w:r>
        <w:t xml:space="preserve"> themes, place the file in the approved learning platform, and request the lecturer about the acceptability of direct </w:t>
      </w:r>
      <w:r>
        <w:lastRenderedPageBreak/>
        <w:t xml:space="preserve">quotations. The team eventually accepted to use summaries which had been </w:t>
      </w:r>
      <w:proofErr w:type="spellStart"/>
      <w:r>
        <w:t>anonymised</w:t>
      </w:r>
      <w:proofErr w:type="spellEnd"/>
      <w:r>
        <w:t xml:space="preserve"> to comment identities. The experience demonstrated that my ethical qualities as a practitioner are in the process of forming: I hold honesty, confidentiality and accountability in high regard, however, I am yet to be even more confident when I am required to challenge a group decision when I am under pressure.</w:t>
      </w:r>
    </w:p>
    <w:p w14:paraId="5AA0B0B7" w14:textId="77777777" w:rsidR="00144AA4" w:rsidRDefault="00144AA4" w:rsidP="00A37A02"/>
    <w:p w14:paraId="51417C1E" w14:textId="77777777" w:rsidR="006F48BC" w:rsidRDefault="00000000" w:rsidP="00A37A02">
      <w:pPr>
        <w:pStyle w:val="Heading1"/>
      </w:pPr>
      <w:r>
        <w:t>Reflection on Action</w:t>
      </w:r>
    </w:p>
    <w:p w14:paraId="7BFBAF6C" w14:textId="77777777" w:rsidR="00FD4F8F" w:rsidRDefault="00FD4F8F" w:rsidP="00FD4F8F">
      <w:r>
        <w:t>A number of factors of my response were good. To begin with, the ethical risk that I observed was prior to the copying of the information to the final work. This was important since privacy issues are usually initiated by minor and convenient choices as opposed to blatant misbehavior. Second, I attempted to turn the focus off fear of punishment and on to respect of the people represented in the data. According to the literature on reflective practice, reflecting on experience becomes significant when the learner relates it to values, emotions and professional judgement and not just describing the experience (</w:t>
      </w:r>
      <w:proofErr w:type="spellStart"/>
      <w:r>
        <w:t>Dellaportas</w:t>
      </w:r>
      <w:proofErr w:type="spellEnd"/>
      <w:r>
        <w:t xml:space="preserve"> et al., 2023). In that regard, the activity assisted me to shift towards rule-following to ethical reasoning.</w:t>
      </w:r>
    </w:p>
    <w:p w14:paraId="0185C1B1" w14:textId="77777777" w:rsidR="00FD4F8F" w:rsidRDefault="00FD4F8F" w:rsidP="00FD4F8F">
      <w:r>
        <w:t xml:space="preserve">My suggestion of the practical alternatives was another good thing. I did not just say that the group was wrong, I proposed that we should </w:t>
      </w:r>
      <w:proofErr w:type="spellStart"/>
      <w:r>
        <w:t>anonymise</w:t>
      </w:r>
      <w:proofErr w:type="spellEnd"/>
      <w:r>
        <w:t xml:space="preserve">, </w:t>
      </w:r>
      <w:proofErr w:type="spellStart"/>
      <w:r>
        <w:t>minimise</w:t>
      </w:r>
      <w:proofErr w:type="spellEnd"/>
      <w:r>
        <w:t xml:space="preserve"> the amount of data, store this data securely and consult the supervisor. This method is connected to the notion that reflection needs to enhance action, rather than stay an individualized thinking. According to Schoormann et al. (2023), reflection-in-action and reflection-on-action assist individuals to react to complicated, doubtful and value-conflict scenarios. Reflection-in-action in my case took place at the point of stopping in the group discussion and asking questions about the plan; reflection-on-action came later when I looked at what the situation about me indicated about my professional self.</w:t>
      </w:r>
    </w:p>
    <w:p w14:paraId="036455BB" w14:textId="77777777" w:rsidR="00FD4F8F" w:rsidRDefault="00FD4F8F" w:rsidP="00FD4F8F">
      <w:r>
        <w:t xml:space="preserve">Nonetheless, it could have been improved in other aspects. The first weakness that I had was hesitation. My first thought was that since the material was provided to study then it was safe to use it in any form. This was overly simplistic an assumption. I also paid much attention to the result of the assignment and insufficient attention to the vulnerability of the data subjects. Bouchard et al. (2025) demonstrate that multidisciplinary professional practice is usually vulnerable, as individuals are willing to trust other people with sensitive information to act in a responsible manner. This helped me to </w:t>
      </w:r>
      <w:proofErr w:type="spellStart"/>
      <w:r>
        <w:t>realise</w:t>
      </w:r>
      <w:proofErr w:type="spellEnd"/>
      <w:r>
        <w:t xml:space="preserve"> that confidentiality is not merely a technical requirement, but also a relationship of trust.</w:t>
      </w:r>
    </w:p>
    <w:p w14:paraId="3B39A3C7" w14:textId="77777777" w:rsidR="00FD4F8F" w:rsidRDefault="00FD4F8F" w:rsidP="00FD4F8F">
      <w:r>
        <w:lastRenderedPageBreak/>
        <w:t xml:space="preserve">I had ambivalent feelings. It was stressful since I did not want to make a conflict but it was also stressing as I felt that by not addressing the issue, I would be part of the problem. It has opened my eyes to realize that the process of ethical learning is both emotional and intellectual. Carver and Woodley (2026) believe that EI can help to build confidence in ethics since individuals must deal with discomfort and yet do what they think is right. I can observe this with regard to my own reaction: I was concerned enough to be aware of the </w:t>
      </w:r>
      <w:proofErr w:type="gramStart"/>
      <w:r>
        <w:t>problem,</w:t>
      </w:r>
      <w:proofErr w:type="gramEnd"/>
      <w:r>
        <w:t xml:space="preserve"> however, I required greater bravery and socializing ability to bring it up sooner.</w:t>
      </w:r>
    </w:p>
    <w:p w14:paraId="0FF619E9" w14:textId="2D4CDB27" w:rsidR="00144AA4" w:rsidRDefault="00FD4F8F" w:rsidP="00FD4F8F">
      <w:r>
        <w:t xml:space="preserve">The experience relates directly to my Churchill topics since business and management choices are more about the digital information, trust and accountability of the stakeholders and teams. It also has a connection with leadership since a practitioner cannot wait to have all ethical decisions made by a manager. Formal policies are not as significant in influencing ethical </w:t>
      </w:r>
      <w:proofErr w:type="spellStart"/>
      <w:r>
        <w:t>behaviour</w:t>
      </w:r>
      <w:proofErr w:type="spellEnd"/>
      <w:r>
        <w:t xml:space="preserve"> as is the immediate team climate. Cabana and Kaptein (2024) present the argument that team ethical culture will better support everyday unethical </w:t>
      </w:r>
      <w:proofErr w:type="spellStart"/>
      <w:r>
        <w:t>behaviour</w:t>
      </w:r>
      <w:proofErr w:type="spellEnd"/>
      <w:r>
        <w:t xml:space="preserve"> prevention, which is better achieved through ethics programs. So, what I have learned is that confidentiality should be a team thing, not merely.</w:t>
      </w:r>
    </w:p>
    <w:p w14:paraId="4C435371" w14:textId="77777777" w:rsidR="003A1DE2" w:rsidRDefault="003A1DE2" w:rsidP="00FD4F8F"/>
    <w:p w14:paraId="146D8140" w14:textId="77777777" w:rsidR="006F48BC" w:rsidRDefault="00000000" w:rsidP="00A37A02">
      <w:pPr>
        <w:pStyle w:val="Heading1"/>
      </w:pPr>
      <w:r>
        <w:t>Theory</w:t>
      </w:r>
    </w:p>
    <w:p w14:paraId="1CF5245B" w14:textId="77777777" w:rsidR="0006205D" w:rsidRDefault="0006205D" w:rsidP="0006205D">
      <w:r>
        <w:t xml:space="preserve">There are various ethical theories that can be applied in the dilemma. According to the deontological approach, respect of confidentiality and privacy was the core of the responsibility whether the use of the details could lead to a better report. Deontology is based on responsibility, values and honor of man. The rules that were applicable in this case include that the information should be used in a just cause, not disclosed unnecessarily and that the identity of people should not be identified. This point of view is very </w:t>
      </w:r>
      <w:proofErr w:type="gramStart"/>
      <w:r>
        <w:t>rigid,</w:t>
      </w:r>
      <w:proofErr w:type="gramEnd"/>
      <w:r>
        <w:t xml:space="preserve"> however, it is useful as it does not allow making convenience an argument to invade the privacy.</w:t>
      </w:r>
    </w:p>
    <w:p w14:paraId="03806AFD" w14:textId="77777777" w:rsidR="0006205D" w:rsidRDefault="0006205D" w:rsidP="0006205D">
      <w:r>
        <w:t xml:space="preserve">A consequentialist view will result in a similar yet differently rationale. The potential advantage of having identifiable direct information was a more formidable looking report. The potential negative effects were embarrassment, a lack of trust, a damaged reputation, and usage of the file outside of the group and a normalization of irresponsible data handling. The ethical course of action, in comparison with the minimal academic good, lies on the minimum disclosure. Hanlon and Jones (2026) come in handy in this case since they demonstrate that data practices may turn out to be questionable ethically when individuals are not able to </w:t>
      </w:r>
      <w:r>
        <w:lastRenderedPageBreak/>
        <w:t>intuitively comprehend or manage in the future uses of their data. Let alone the fact that the group may not have been intending to do harm, consequences were important.</w:t>
      </w:r>
    </w:p>
    <w:p w14:paraId="70951AAA" w14:textId="77777777" w:rsidR="0006205D" w:rsidRDefault="0006205D" w:rsidP="0006205D">
      <w:r>
        <w:t>Virtue ethics assisted me to look into the type of practitioner I would like to be. A practitioner of good will would not simply ask, 'Can I use this' but would further consider, What would a responsible, just and prudent professional do? The idea of moral self-awareness, Friedland and Cole (2019) argue, is significant as economic or performance incentive can lead to a narrowed attention of people and make them less motivated morally. The motivation of the performance that occurred in my case was the need to have a persuasive evaluation. Virtue ethics proved to be a challenge to put integrity over appearance. It also made me observe that confidentiality is an aspect of character and not compliance.</w:t>
      </w:r>
    </w:p>
    <w:p w14:paraId="232CD2C9" w14:textId="77777777" w:rsidR="0006205D" w:rsidRDefault="0006205D" w:rsidP="0006205D">
      <w:r>
        <w:t xml:space="preserve">The dilemma was also very moral. </w:t>
      </w:r>
      <w:proofErr w:type="spellStart"/>
      <w:r>
        <w:t>Kusyk</w:t>
      </w:r>
      <w:proofErr w:type="spellEnd"/>
      <w:r>
        <w:t xml:space="preserve"> and Schwartz (2025) provide that there is an influence of moral intensity on ethical decision-making at the level of awareness, judgement, intention and </w:t>
      </w:r>
      <w:proofErr w:type="spellStart"/>
      <w:r>
        <w:t>behaviour</w:t>
      </w:r>
      <w:proofErr w:type="spellEnd"/>
      <w:r>
        <w:t xml:space="preserve">. This problem was proximate since I was able to </w:t>
      </w:r>
      <w:proofErr w:type="spellStart"/>
      <w:r>
        <w:t>visualise</w:t>
      </w:r>
      <w:proofErr w:type="spellEnd"/>
      <w:r>
        <w:t xml:space="preserve"> the data subjects being real individuals; significant of consequences since the disclosure of identity could have an impact on dignity and trust; and social consensus since the majority of professional settings consider privacy to have moral significance. As soon as I perceived the problem to be of high moral intensity, it was more difficult to explain the original plan of the group.</w:t>
      </w:r>
    </w:p>
    <w:p w14:paraId="099F3992" w14:textId="77777777" w:rsidR="0006205D" w:rsidRDefault="0006205D" w:rsidP="0006205D">
      <w:r>
        <w:t xml:space="preserve">Ethics of care provides an extra twist. Care based perspective takes into account relations, dependency and the duty to not expose individuals who gave out their information to an </w:t>
      </w:r>
      <w:proofErr w:type="spellStart"/>
      <w:r>
        <w:t>organisation</w:t>
      </w:r>
      <w:proofErr w:type="spellEnd"/>
      <w:r>
        <w:t xml:space="preserve">. This was significant since the remarks were not objective items but they were the experiences of people. Shulman et al. (2024) demonstrate that the choice of disclosure is dependent on the situation and perceived control. When one contextually shares information, and the information is reused in a different context without paying attention to it, then the individual loses the control of his or her identity. This justifies my choice of </w:t>
      </w:r>
      <w:proofErr w:type="spellStart"/>
      <w:r>
        <w:t>anonymised</w:t>
      </w:r>
      <w:proofErr w:type="spellEnd"/>
      <w:r>
        <w:t xml:space="preserve"> themes in place of </w:t>
      </w:r>
      <w:proofErr w:type="spellStart"/>
      <w:r>
        <w:t>recognisable</w:t>
      </w:r>
      <w:proofErr w:type="spellEnd"/>
      <w:r>
        <w:t xml:space="preserve"> information.</w:t>
      </w:r>
    </w:p>
    <w:p w14:paraId="3C7053A1" w14:textId="77777777" w:rsidR="0006205D" w:rsidRDefault="0006205D" w:rsidP="0006205D">
      <w:r>
        <w:t xml:space="preserve">The </w:t>
      </w:r>
      <w:proofErr w:type="spellStart"/>
      <w:r>
        <w:t>organisational</w:t>
      </w:r>
      <w:proofErr w:type="spellEnd"/>
      <w:r>
        <w:t xml:space="preserve"> ethics theory demonstrates that the situation affected the dilemma, which was group-oriented. </w:t>
      </w:r>
      <w:proofErr w:type="spellStart"/>
      <w:r>
        <w:t>Otaye-Ebede</w:t>
      </w:r>
      <w:proofErr w:type="spellEnd"/>
      <w:r>
        <w:t xml:space="preserve"> et al. (2020) have discovered that workplace spirituality and outcome are connected with ethical climate indicating that values incorporated in the environment influence </w:t>
      </w:r>
      <w:proofErr w:type="spellStart"/>
      <w:r>
        <w:t>behaviour</w:t>
      </w:r>
      <w:proofErr w:type="spellEnd"/>
      <w:r>
        <w:t xml:space="preserve">. The ethical climate is established in a student team by simply saying such things as just copy it or we should </w:t>
      </w:r>
      <w:proofErr w:type="spellStart"/>
      <w:r>
        <w:t>anonymise</w:t>
      </w:r>
      <w:proofErr w:type="spellEnd"/>
      <w:r>
        <w:t xml:space="preserve"> it first. The article by Cabana and Kaptein (2024) also claims that formal ethics regulations cannot work effectively </w:t>
      </w:r>
      <w:r>
        <w:lastRenderedPageBreak/>
        <w:t>unless there is a team culture that underlies their implementation. Thus, I not only had to make my own decision, but to set an example to the team norm.</w:t>
      </w:r>
    </w:p>
    <w:p w14:paraId="38A4113D" w14:textId="3C452D2B" w:rsidR="0006205D" w:rsidRDefault="0006205D" w:rsidP="0006205D">
      <w:r>
        <w:t xml:space="preserve">A paradox of transparency and confidentiality were also present in the situation. Evidence-based reporting must be credible by being sufficiently detailed, and ethical practice must be restrained. Song (2025) makes the case that mindfulness can enable individuals to react to paradox by establishing some distance to reflect, as opposed to turning to automatic responses. This allowed me to realize that no evidence versus ethics dilemma was needed in this case. The response that was more appropriate was to save the valuable analytical aspect of the data, but eliminate redundant identifiers. Last but not the least, the perspective of speaking up as a series of ethical and </w:t>
      </w:r>
      <w:proofErr w:type="spellStart"/>
      <w:r>
        <w:t>organisational</w:t>
      </w:r>
      <w:proofErr w:type="spellEnd"/>
      <w:r>
        <w:t xml:space="preserve"> tests as discussed by </w:t>
      </w:r>
      <w:proofErr w:type="spellStart"/>
      <w:r>
        <w:t>Fanchini</w:t>
      </w:r>
      <w:proofErr w:type="spellEnd"/>
      <w:r>
        <w:t xml:space="preserve"> and Van </w:t>
      </w:r>
      <w:proofErr w:type="spellStart"/>
      <w:r>
        <w:t>Portfliet</w:t>
      </w:r>
      <w:proofErr w:type="spellEnd"/>
      <w:r>
        <w:t xml:space="preserve"> (2025) is applicable since a concern-raising is not a single action. It involves making a decision on when to ask questions, the framing of the problem and escalation.</w:t>
      </w:r>
    </w:p>
    <w:p w14:paraId="6B38CCAD" w14:textId="77777777" w:rsidR="00144AA4" w:rsidRDefault="00144AA4" w:rsidP="00A37A02"/>
    <w:p w14:paraId="7FC8701F" w14:textId="77777777" w:rsidR="006F48BC" w:rsidRDefault="00000000" w:rsidP="00A37A02">
      <w:pPr>
        <w:pStyle w:val="Heading1"/>
      </w:pPr>
      <w:r>
        <w:t>Preparation</w:t>
      </w:r>
    </w:p>
    <w:p w14:paraId="0C35B13F" w14:textId="77777777" w:rsidR="002E381A" w:rsidRDefault="002E381A" w:rsidP="002E381A">
      <w:r>
        <w:t xml:space="preserve">This reflection indicates that the ethical strengths that I possess are awareness, empathy and willingness to find a safer substitute. I </w:t>
      </w:r>
      <w:proofErr w:type="spellStart"/>
      <w:r>
        <w:t>realised</w:t>
      </w:r>
      <w:proofErr w:type="spellEnd"/>
      <w:r>
        <w:t xml:space="preserve"> that privacy is related to dignity and I could suggest a reasonable answer instead of disregarding the issue. Confidence, planning ahead and being more ethical are my areas of development. Next time, I would not wait to see the last stage of a group project with a problem. I ought to contribute to setting up the expectations of privacy upfront in any activity that involves data.</w:t>
      </w:r>
    </w:p>
    <w:p w14:paraId="25D48919" w14:textId="02DD8513" w:rsidR="0006205D" w:rsidRDefault="002E381A" w:rsidP="002E381A">
      <w:r>
        <w:t xml:space="preserve">My initial preparation plan will be to have a privacy-by-design checklist prior to working with information. These questions will be in the checklist: What is the purpose of using this information? Do you really need all that? Is it possible to make the same analysis using </w:t>
      </w:r>
      <w:proofErr w:type="spellStart"/>
      <w:r>
        <w:t>anonymised</w:t>
      </w:r>
      <w:proofErr w:type="spellEnd"/>
      <w:r>
        <w:t xml:space="preserve"> data or aggregated data? Who needs access? In which storage will the data be stored? At which time will it be deleted? This policy echoes the data </w:t>
      </w:r>
      <w:proofErr w:type="spellStart"/>
      <w:r>
        <w:t>minimisation</w:t>
      </w:r>
      <w:proofErr w:type="spellEnd"/>
      <w:r>
        <w:t xml:space="preserve"> and confidentiality in practice. It also promotes the practice of global </w:t>
      </w:r>
      <w:proofErr w:type="spellStart"/>
      <w:r>
        <w:t>organisations</w:t>
      </w:r>
      <w:proofErr w:type="spellEnd"/>
      <w:r>
        <w:t xml:space="preserve"> since the digital information can be transferred across the borders in a very short time and the ethical standards should be transferred with it. </w:t>
      </w:r>
      <w:proofErr w:type="spellStart"/>
      <w:r>
        <w:t>Davcik</w:t>
      </w:r>
      <w:proofErr w:type="spellEnd"/>
      <w:r>
        <w:t xml:space="preserve"> et al. (2024) believe that the digital transformation of international business poses ethical threats that need to take into consideration the dark side of business practices.</w:t>
      </w:r>
    </w:p>
    <w:p w14:paraId="48B5A9E1" w14:textId="77777777" w:rsidR="006F583A" w:rsidRDefault="006F583A" w:rsidP="006F583A">
      <w:r>
        <w:lastRenderedPageBreak/>
        <w:t xml:space="preserve">The second thing I am going to do is to use my moral voice. When presented with a similar dilemma, I will address the matter at the first opportunity and do it respectfully by stating, 'I believe that this information is helpful, but we should take out identifiers prior to utilization. This is a phrase which does not put the team in the wrong but draws a line. In case of disagreement of the group, I will not remain silent but will refer to the lecturer, supervisor or policy involved. This is illustrated by </w:t>
      </w:r>
      <w:proofErr w:type="spellStart"/>
      <w:r>
        <w:t>Fanchini</w:t>
      </w:r>
      <w:proofErr w:type="spellEnd"/>
      <w:r>
        <w:t xml:space="preserve"> and Van </w:t>
      </w:r>
      <w:proofErr w:type="spellStart"/>
      <w:r>
        <w:t>Portfliet</w:t>
      </w:r>
      <w:proofErr w:type="spellEnd"/>
      <w:r>
        <w:t xml:space="preserve"> (2025) as the responses of the </w:t>
      </w:r>
      <w:proofErr w:type="spellStart"/>
      <w:r>
        <w:t>organisation</w:t>
      </w:r>
      <w:proofErr w:type="spellEnd"/>
      <w:r>
        <w:t xml:space="preserve"> to speaking up influence it, and therefore preparing the ways of escalation is a component of ethical competence.</w:t>
      </w:r>
    </w:p>
    <w:p w14:paraId="7C42FCDE" w14:textId="77777777" w:rsidR="006F583A" w:rsidRDefault="006F583A" w:rsidP="006F583A">
      <w:r>
        <w:t xml:space="preserve">The third strategy I will use is to keep on learning in a reflective manner. I will maintain a brief ethical reflection journal in the case of significant projects, which will include the dilemma, who is involved, options, decision, justification and learning. </w:t>
      </w:r>
      <w:proofErr w:type="spellStart"/>
      <w:r>
        <w:t>Dellaportas</w:t>
      </w:r>
      <w:proofErr w:type="spellEnd"/>
      <w:r>
        <w:t xml:space="preserve"> et al. (2023) demonstrate that reflective writing could assist in transformative learning, whereas </w:t>
      </w:r>
      <w:proofErr w:type="spellStart"/>
      <w:r>
        <w:t>Schoormann</w:t>
      </w:r>
      <w:proofErr w:type="spellEnd"/>
      <w:r>
        <w:t xml:space="preserve"> et al. (2023) focus on reflection as a means of dealing with value conflicts. This will assist me to relate theory to professional </w:t>
      </w:r>
      <w:proofErr w:type="spellStart"/>
      <w:r>
        <w:t>behaviour</w:t>
      </w:r>
      <w:proofErr w:type="spellEnd"/>
      <w:r>
        <w:t xml:space="preserve"> and not seeing ethics as an isolated subject.</w:t>
      </w:r>
    </w:p>
    <w:p w14:paraId="40C6ED60" w14:textId="1025CBD3" w:rsidR="006F583A" w:rsidRDefault="006F583A" w:rsidP="006F583A">
      <w:r>
        <w:t xml:space="preserve">When faced with a dilemma of confidentiality and privacy in a future work environment, my approach to the situation would be more procedural. I would wait prior to information disclosure, seek consent and purpose, exclude identifiers, restrict access, record the decision and seek advice in case the risk is not clear. I would also promote team spirit in which the issues of privacy should be seen in a manner that they are potential contributions rather than hindrances. Generally, the experience has equipped me to view ethical practice as dynamic, interactive and continuous. Confidentiality does not merely involve concealment of information, but rather </w:t>
      </w:r>
      <w:r w:rsidR="005876BE">
        <w:t>utilizing</w:t>
      </w:r>
      <w:r>
        <w:t xml:space="preserve"> information in a manner that safeguard trust, respect people, and in a manner that promotes responsible decision-making in </w:t>
      </w:r>
      <w:r w:rsidR="005876BE">
        <w:t>organizations</w:t>
      </w:r>
      <w:r>
        <w:t>.</w:t>
      </w:r>
    </w:p>
    <w:p w14:paraId="62584399" w14:textId="77777777" w:rsidR="006F48BC" w:rsidRDefault="00000000" w:rsidP="00A37A02">
      <w:r>
        <w:br w:type="page"/>
      </w:r>
    </w:p>
    <w:p w14:paraId="6F262EC1" w14:textId="77777777" w:rsidR="006F48BC" w:rsidRDefault="00000000" w:rsidP="003A1DE2">
      <w:pPr>
        <w:pStyle w:val="Heading1"/>
        <w:jc w:val="center"/>
      </w:pPr>
      <w:r>
        <w:lastRenderedPageBreak/>
        <w:t>References</w:t>
      </w:r>
    </w:p>
    <w:p w14:paraId="5E2CB8F7" w14:textId="77777777" w:rsidR="00144AA4" w:rsidRPr="00144AA4" w:rsidRDefault="00144AA4" w:rsidP="00A37A02">
      <w:pPr>
        <w:jc w:val="left"/>
      </w:pPr>
      <w:r w:rsidRPr="00144AA4">
        <w:t xml:space="preserve">Bouchard, M., </w:t>
      </w:r>
      <w:proofErr w:type="spellStart"/>
      <w:r w:rsidRPr="00144AA4">
        <w:t>Chreim</w:t>
      </w:r>
      <w:proofErr w:type="spellEnd"/>
      <w:r w:rsidRPr="00144AA4">
        <w:t xml:space="preserve">, S., Langley, A., &amp; Boivin, A. (2025). Vulnerability practices among professionals in multidisciplinary settings. </w:t>
      </w:r>
      <w:r w:rsidRPr="00144AA4">
        <w:rPr>
          <w:i/>
          <w:iCs/>
        </w:rPr>
        <w:t>Academy of Management Journal, 00</w:t>
      </w:r>
      <w:r w:rsidRPr="00144AA4">
        <w:t xml:space="preserve">(00), 1–30. </w:t>
      </w:r>
      <w:hyperlink r:id="rId8" w:tgtFrame="_new" w:history="1">
        <w:r w:rsidRPr="00144AA4">
          <w:rPr>
            <w:rStyle w:val="Hyperlink"/>
          </w:rPr>
          <w:t>https://doi.org/10.54</w:t>
        </w:r>
        <w:r w:rsidRPr="00144AA4">
          <w:rPr>
            <w:rStyle w:val="Hyperlink"/>
          </w:rPr>
          <w:t>6</w:t>
        </w:r>
        <w:r w:rsidRPr="00144AA4">
          <w:rPr>
            <w:rStyle w:val="Hyperlink"/>
          </w:rPr>
          <w:t>5/amj.2023.0645</w:t>
        </w:r>
      </w:hyperlink>
    </w:p>
    <w:p w14:paraId="74C0B6FD" w14:textId="77777777" w:rsidR="00144AA4" w:rsidRPr="00144AA4" w:rsidRDefault="00144AA4" w:rsidP="00A37A02">
      <w:pPr>
        <w:jc w:val="left"/>
      </w:pPr>
      <w:r w:rsidRPr="00144AA4">
        <w:t xml:space="preserve">Cabana, G. C., &amp; Kaptein, M. (2024). Team ethical culture as a coupling mechanism between a well-implemented organizational ethics program and the prevention of unethical behavior in teams. </w:t>
      </w:r>
      <w:r w:rsidRPr="00144AA4">
        <w:rPr>
          <w:i/>
          <w:iCs/>
        </w:rPr>
        <w:t>Business Ethics, the Environment &amp; Responsibility</w:t>
      </w:r>
      <w:r w:rsidRPr="00144AA4">
        <w:t xml:space="preserve">. </w:t>
      </w:r>
      <w:hyperlink r:id="rId9" w:tgtFrame="_new" w:history="1">
        <w:r w:rsidRPr="00144AA4">
          <w:rPr>
            <w:rStyle w:val="Hyperlink"/>
          </w:rPr>
          <w:t>https://doi.org/10.1111/beer.12661</w:t>
        </w:r>
      </w:hyperlink>
    </w:p>
    <w:p w14:paraId="20391142" w14:textId="77777777" w:rsidR="00144AA4" w:rsidRPr="00144AA4" w:rsidRDefault="00144AA4" w:rsidP="00A37A02">
      <w:pPr>
        <w:jc w:val="left"/>
      </w:pPr>
      <w:r w:rsidRPr="00144AA4">
        <w:t xml:space="preserve">Carver, S. J., &amp; Woodley, H. J. R. (2026). Emotional intelligence and business ethics: Feeling confident in doing the right thing. </w:t>
      </w:r>
      <w:r w:rsidRPr="00144AA4">
        <w:rPr>
          <w:i/>
          <w:iCs/>
        </w:rPr>
        <w:t>Journal of Business Ethics, 203</w:t>
      </w:r>
      <w:r w:rsidRPr="00144AA4">
        <w:t xml:space="preserve">, 769–786. </w:t>
      </w:r>
      <w:hyperlink r:id="rId10" w:tgtFrame="_new" w:history="1">
        <w:r w:rsidRPr="00144AA4">
          <w:rPr>
            <w:rStyle w:val="Hyperlink"/>
          </w:rPr>
          <w:t>https://doi.org/10.1007/s10551-025-06044-3</w:t>
        </w:r>
      </w:hyperlink>
    </w:p>
    <w:p w14:paraId="4857C281" w14:textId="77777777" w:rsidR="00144AA4" w:rsidRPr="00144AA4" w:rsidRDefault="00144AA4" w:rsidP="00A37A02">
      <w:pPr>
        <w:jc w:val="left"/>
      </w:pPr>
      <w:r w:rsidRPr="00144AA4">
        <w:t xml:space="preserve">Davcik, N. S., Sharma, P., &amp; Markovic, S. (2024). Ethical ramifications of the dark side of business practices in the international business area. </w:t>
      </w:r>
      <w:r w:rsidRPr="00144AA4">
        <w:rPr>
          <w:i/>
          <w:iCs/>
        </w:rPr>
        <w:t>Business Ethics, the Environment &amp; Responsibility</w:t>
      </w:r>
      <w:r w:rsidRPr="00144AA4">
        <w:t>.</w:t>
      </w:r>
    </w:p>
    <w:p w14:paraId="69CDAB2C" w14:textId="77777777" w:rsidR="00144AA4" w:rsidRPr="00144AA4" w:rsidRDefault="00144AA4" w:rsidP="00A37A02">
      <w:pPr>
        <w:jc w:val="left"/>
      </w:pPr>
      <w:proofErr w:type="spellStart"/>
      <w:r w:rsidRPr="00144AA4">
        <w:t>Dellaportas</w:t>
      </w:r>
      <w:proofErr w:type="spellEnd"/>
      <w:r w:rsidRPr="00144AA4">
        <w:t xml:space="preserve">, S., Stevenson-Clarke, P., Joshi, M., &amp; De Fazio, T. (2023). Reflective practice and learning in accounting education. </w:t>
      </w:r>
      <w:r w:rsidRPr="00144AA4">
        <w:rPr>
          <w:i/>
          <w:iCs/>
        </w:rPr>
        <w:t>Accounting Education, 32</w:t>
      </w:r>
      <w:r w:rsidRPr="00144AA4">
        <w:t xml:space="preserve">(4), 355–381. </w:t>
      </w:r>
      <w:hyperlink r:id="rId11" w:tgtFrame="_new" w:history="1">
        <w:r w:rsidRPr="00144AA4">
          <w:rPr>
            <w:rStyle w:val="Hyperlink"/>
          </w:rPr>
          <w:t>https://doi.org/10.1080/09639284.2022.2076565</w:t>
        </w:r>
      </w:hyperlink>
    </w:p>
    <w:p w14:paraId="122CAECC" w14:textId="77777777" w:rsidR="00144AA4" w:rsidRPr="00144AA4" w:rsidRDefault="00144AA4" w:rsidP="00A37A02">
      <w:pPr>
        <w:jc w:val="left"/>
      </w:pPr>
      <w:proofErr w:type="spellStart"/>
      <w:r w:rsidRPr="00144AA4">
        <w:t>Fanchini</w:t>
      </w:r>
      <w:proofErr w:type="spellEnd"/>
      <w:r w:rsidRPr="00144AA4">
        <w:t xml:space="preserve">, M., &amp; Van </w:t>
      </w:r>
      <w:proofErr w:type="spellStart"/>
      <w:r w:rsidRPr="00144AA4">
        <w:t>Portfliet</w:t>
      </w:r>
      <w:proofErr w:type="spellEnd"/>
      <w:r w:rsidRPr="00144AA4">
        <w:t xml:space="preserve">, M. (2025). Whistleblowing as a recursive sequence of </w:t>
      </w:r>
      <w:proofErr w:type="spellStart"/>
      <w:r w:rsidRPr="00144AA4">
        <w:t>épreuves</w:t>
      </w:r>
      <w:proofErr w:type="spellEnd"/>
      <w:r w:rsidRPr="00144AA4">
        <w:t xml:space="preserve">: A </w:t>
      </w:r>
      <w:proofErr w:type="spellStart"/>
      <w:r w:rsidRPr="00144AA4">
        <w:t>Boltanskian</w:t>
      </w:r>
      <w:proofErr w:type="spellEnd"/>
      <w:r w:rsidRPr="00144AA4">
        <w:t xml:space="preserve"> theorization of speaking up. </w:t>
      </w:r>
      <w:r w:rsidRPr="00144AA4">
        <w:rPr>
          <w:i/>
          <w:iCs/>
        </w:rPr>
        <w:t>Journal of Business Ethics, 202</w:t>
      </w:r>
      <w:r w:rsidRPr="00144AA4">
        <w:t xml:space="preserve">, 647–659. </w:t>
      </w:r>
      <w:hyperlink r:id="rId12" w:tgtFrame="_new" w:history="1">
        <w:r w:rsidRPr="00144AA4">
          <w:rPr>
            <w:rStyle w:val="Hyperlink"/>
          </w:rPr>
          <w:t>https://doi.org/10.1007/s10551-025-05996-w</w:t>
        </w:r>
      </w:hyperlink>
    </w:p>
    <w:p w14:paraId="573A8C98" w14:textId="77777777" w:rsidR="00144AA4" w:rsidRPr="00144AA4" w:rsidRDefault="00144AA4" w:rsidP="00A37A02">
      <w:pPr>
        <w:jc w:val="left"/>
      </w:pPr>
      <w:r w:rsidRPr="00144AA4">
        <w:t>Friedland, J., &amp; Cole, B. M. (2019). From Homo-economicus to Homo-</w:t>
      </w:r>
      <w:proofErr w:type="spellStart"/>
      <w:r w:rsidRPr="00144AA4">
        <w:t>virtus</w:t>
      </w:r>
      <w:proofErr w:type="spellEnd"/>
      <w:r w:rsidRPr="00144AA4">
        <w:t xml:space="preserve">: A system-theoretic model for raising moral self-awareness. </w:t>
      </w:r>
      <w:r w:rsidRPr="00144AA4">
        <w:rPr>
          <w:i/>
          <w:iCs/>
        </w:rPr>
        <w:t>Journal of Business Ethics, 155</w:t>
      </w:r>
      <w:r w:rsidRPr="00144AA4">
        <w:t xml:space="preserve">, 191–205. </w:t>
      </w:r>
      <w:hyperlink r:id="rId13" w:tgtFrame="_new" w:history="1">
        <w:r w:rsidRPr="00144AA4">
          <w:rPr>
            <w:rStyle w:val="Hyperlink"/>
          </w:rPr>
          <w:t>https://doi.org/10.1007/s10551-017-3494-6</w:t>
        </w:r>
      </w:hyperlink>
    </w:p>
    <w:p w14:paraId="7C307DCE" w14:textId="77777777" w:rsidR="00144AA4" w:rsidRPr="00144AA4" w:rsidRDefault="00144AA4" w:rsidP="00A37A02">
      <w:pPr>
        <w:jc w:val="left"/>
      </w:pPr>
      <w:r w:rsidRPr="00144AA4">
        <w:t xml:space="preserve">Hanlon, A., &amp; Jones, K. (2026). Ethical concerns about social media privacy policies: Do users have the ability to comprehend their consent actions? </w:t>
      </w:r>
      <w:r w:rsidRPr="00144AA4">
        <w:rPr>
          <w:i/>
          <w:iCs/>
        </w:rPr>
        <w:t>Journal of Strategic Marketing, 34</w:t>
      </w:r>
      <w:r w:rsidRPr="00144AA4">
        <w:t xml:space="preserve">(1), 41–58. </w:t>
      </w:r>
      <w:hyperlink r:id="rId14" w:tgtFrame="_new" w:history="1">
        <w:r w:rsidRPr="00144AA4">
          <w:rPr>
            <w:rStyle w:val="Hyperlink"/>
          </w:rPr>
          <w:t>https://doi.org/10.1080/0965254X.2023.2232817</w:t>
        </w:r>
      </w:hyperlink>
    </w:p>
    <w:p w14:paraId="6B5738D3" w14:textId="77777777" w:rsidR="00144AA4" w:rsidRPr="00144AA4" w:rsidRDefault="00144AA4" w:rsidP="00A37A02">
      <w:pPr>
        <w:jc w:val="left"/>
      </w:pPr>
      <w:proofErr w:type="spellStart"/>
      <w:r w:rsidRPr="00144AA4">
        <w:t>Kusyk</w:t>
      </w:r>
      <w:proofErr w:type="spellEnd"/>
      <w:r w:rsidRPr="00144AA4">
        <w:t xml:space="preserve">, S., &amp; Schwartz, M. S. (2025). Moral intensity: It is what is, but what is it? A critical review of the literature. </w:t>
      </w:r>
      <w:r w:rsidRPr="00144AA4">
        <w:rPr>
          <w:i/>
          <w:iCs/>
        </w:rPr>
        <w:t>Journal of Business Ethics, 200</w:t>
      </w:r>
      <w:r w:rsidRPr="00144AA4">
        <w:t xml:space="preserve">, 487–508. </w:t>
      </w:r>
      <w:hyperlink r:id="rId15" w:tgtFrame="_new" w:history="1">
        <w:r w:rsidRPr="00144AA4">
          <w:rPr>
            <w:rStyle w:val="Hyperlink"/>
          </w:rPr>
          <w:t>https://doi.org/10.1007/s10551-024-05869-8</w:t>
        </w:r>
      </w:hyperlink>
    </w:p>
    <w:p w14:paraId="0C2BF390" w14:textId="77777777" w:rsidR="00144AA4" w:rsidRPr="00144AA4" w:rsidRDefault="00144AA4" w:rsidP="00A37A02">
      <w:pPr>
        <w:jc w:val="left"/>
      </w:pPr>
      <w:proofErr w:type="spellStart"/>
      <w:r w:rsidRPr="00144AA4">
        <w:lastRenderedPageBreak/>
        <w:t>Otaye-Ebede</w:t>
      </w:r>
      <w:proofErr w:type="spellEnd"/>
      <w:r w:rsidRPr="00144AA4">
        <w:t xml:space="preserve">, L., </w:t>
      </w:r>
      <w:proofErr w:type="spellStart"/>
      <w:r w:rsidRPr="00144AA4">
        <w:t>Shaffakat</w:t>
      </w:r>
      <w:proofErr w:type="spellEnd"/>
      <w:r w:rsidRPr="00144AA4">
        <w:t xml:space="preserve">, S., &amp; Foster, S. (2020). A multilevel model examining the relationships between workplace spirituality, ethical climate and outcomes: A social cognitive theory perspective. </w:t>
      </w:r>
      <w:r w:rsidRPr="00144AA4">
        <w:rPr>
          <w:i/>
          <w:iCs/>
        </w:rPr>
        <w:t>Journal of Business Ethics, 166</w:t>
      </w:r>
      <w:r w:rsidRPr="00144AA4">
        <w:t xml:space="preserve">, 611–626. </w:t>
      </w:r>
      <w:hyperlink r:id="rId16" w:tgtFrame="_new" w:history="1">
        <w:r w:rsidRPr="00144AA4">
          <w:rPr>
            <w:rStyle w:val="Hyperlink"/>
          </w:rPr>
          <w:t>https://doi.org/10.1007/s10551-019-04133-8</w:t>
        </w:r>
      </w:hyperlink>
    </w:p>
    <w:p w14:paraId="0D2B8700" w14:textId="77777777" w:rsidR="00144AA4" w:rsidRPr="00144AA4" w:rsidRDefault="00144AA4" w:rsidP="00A37A02">
      <w:pPr>
        <w:jc w:val="left"/>
      </w:pPr>
      <w:r w:rsidRPr="00144AA4">
        <w:t xml:space="preserve">Schoormann, T., </w:t>
      </w:r>
      <w:proofErr w:type="spellStart"/>
      <w:r w:rsidRPr="00144AA4">
        <w:t>Stadtlaender</w:t>
      </w:r>
      <w:proofErr w:type="spellEnd"/>
      <w:r w:rsidRPr="00144AA4">
        <w:t xml:space="preserve">, M., &amp; Knackstedt, R. (2023). Act and reflect: Integrating reflection into design thinking. </w:t>
      </w:r>
      <w:r w:rsidRPr="00144AA4">
        <w:rPr>
          <w:i/>
          <w:iCs/>
        </w:rPr>
        <w:t>Journal of Management Information Systems, 40</w:t>
      </w:r>
      <w:r w:rsidRPr="00144AA4">
        <w:t xml:space="preserve">(1), 7–37. </w:t>
      </w:r>
      <w:hyperlink r:id="rId17" w:tgtFrame="_new" w:history="1">
        <w:r w:rsidRPr="00144AA4">
          <w:rPr>
            <w:rStyle w:val="Hyperlink"/>
          </w:rPr>
          <w:t>https://doi.org/10.1080/07421222.2023.2172773</w:t>
        </w:r>
      </w:hyperlink>
    </w:p>
    <w:p w14:paraId="59E6BA81" w14:textId="77777777" w:rsidR="00144AA4" w:rsidRPr="00144AA4" w:rsidRDefault="00144AA4" w:rsidP="00A37A02">
      <w:pPr>
        <w:jc w:val="left"/>
      </w:pPr>
      <w:r w:rsidRPr="00144AA4">
        <w:t xml:space="preserve">Shulman, Y., </w:t>
      </w:r>
      <w:proofErr w:type="spellStart"/>
      <w:r w:rsidRPr="00144AA4">
        <w:t>Kitkowska</w:t>
      </w:r>
      <w:proofErr w:type="spellEnd"/>
      <w:r w:rsidRPr="00144AA4">
        <w:t xml:space="preserve">, A., Warner, M., &amp; Meyer, J. (2024). Conceal or reveal: (Non)disclosure choices in online information sharing. </w:t>
      </w:r>
      <w:proofErr w:type="spellStart"/>
      <w:r w:rsidRPr="00144AA4">
        <w:rPr>
          <w:i/>
          <w:iCs/>
        </w:rPr>
        <w:t>Behaviour</w:t>
      </w:r>
      <w:proofErr w:type="spellEnd"/>
      <w:r w:rsidRPr="00144AA4">
        <w:rPr>
          <w:i/>
          <w:iCs/>
        </w:rPr>
        <w:t xml:space="preserve"> &amp; Information Technology, 43</w:t>
      </w:r>
      <w:r w:rsidRPr="00144AA4">
        <w:t xml:space="preserve">(16), 4125–4149. </w:t>
      </w:r>
      <w:hyperlink r:id="rId18" w:tgtFrame="_new" w:history="1">
        <w:r w:rsidRPr="00144AA4">
          <w:rPr>
            <w:rStyle w:val="Hyperlink"/>
          </w:rPr>
          <w:t>https://doi.org/10.1080/0144929X.2024.2304613</w:t>
        </w:r>
      </w:hyperlink>
    </w:p>
    <w:p w14:paraId="038DC6DA" w14:textId="77777777" w:rsidR="00144AA4" w:rsidRPr="00144AA4" w:rsidRDefault="00144AA4" w:rsidP="00A37A02">
      <w:pPr>
        <w:jc w:val="left"/>
      </w:pPr>
      <w:r w:rsidRPr="00144AA4">
        <w:t xml:space="preserve">Song, H.-C. (2025). A Buddhist mindfulness view of paradox: Silence and skepticism of language to dismantle paradoxes. </w:t>
      </w:r>
      <w:r w:rsidRPr="00144AA4">
        <w:rPr>
          <w:i/>
          <w:iCs/>
        </w:rPr>
        <w:t>Organization Science, 36</w:t>
      </w:r>
      <w:r w:rsidRPr="00144AA4">
        <w:t>(1), 361–386.</w:t>
      </w:r>
    </w:p>
    <w:p w14:paraId="590534CE" w14:textId="570CE3E0" w:rsidR="006F48BC" w:rsidRDefault="006F48BC" w:rsidP="00A37A02">
      <w:pPr>
        <w:jc w:val="left"/>
      </w:pPr>
    </w:p>
    <w:sectPr w:rsidR="006F48BC" w:rsidSect="00034616">
      <w:foot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4BFC0" w14:textId="77777777" w:rsidR="0039644C" w:rsidRDefault="0039644C">
      <w:pPr>
        <w:spacing w:after="0" w:line="240" w:lineRule="auto"/>
      </w:pPr>
      <w:r>
        <w:separator/>
      </w:r>
    </w:p>
  </w:endnote>
  <w:endnote w:type="continuationSeparator" w:id="0">
    <w:p w14:paraId="62751DFC" w14:textId="77777777" w:rsidR="0039644C" w:rsidRDefault="00396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D2A7" w14:textId="77777777" w:rsidR="006F48BC" w:rsidRDefault="006F48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227B" w14:textId="77777777" w:rsidR="0039644C" w:rsidRDefault="0039644C">
      <w:pPr>
        <w:spacing w:after="0" w:line="240" w:lineRule="auto"/>
      </w:pPr>
      <w:r>
        <w:separator/>
      </w:r>
    </w:p>
  </w:footnote>
  <w:footnote w:type="continuationSeparator" w:id="0">
    <w:p w14:paraId="0B95991D" w14:textId="77777777" w:rsidR="0039644C" w:rsidRDefault="00396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1367861">
    <w:abstractNumId w:val="8"/>
  </w:num>
  <w:num w:numId="2" w16cid:durableId="1079710598">
    <w:abstractNumId w:val="6"/>
  </w:num>
  <w:num w:numId="3" w16cid:durableId="985277657">
    <w:abstractNumId w:val="5"/>
  </w:num>
  <w:num w:numId="4" w16cid:durableId="1507941349">
    <w:abstractNumId w:val="4"/>
  </w:num>
  <w:num w:numId="5" w16cid:durableId="389615933">
    <w:abstractNumId w:val="7"/>
  </w:num>
  <w:num w:numId="6" w16cid:durableId="1829394134">
    <w:abstractNumId w:val="3"/>
  </w:num>
  <w:num w:numId="7" w16cid:durableId="656960806">
    <w:abstractNumId w:val="2"/>
  </w:num>
  <w:num w:numId="8" w16cid:durableId="1998336123">
    <w:abstractNumId w:val="1"/>
  </w:num>
  <w:num w:numId="9" w16cid:durableId="117021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05D"/>
    <w:rsid w:val="00144AA4"/>
    <w:rsid w:val="0015074B"/>
    <w:rsid w:val="001C2230"/>
    <w:rsid w:val="0029639D"/>
    <w:rsid w:val="002E381A"/>
    <w:rsid w:val="00326F90"/>
    <w:rsid w:val="0039644C"/>
    <w:rsid w:val="003A1DE2"/>
    <w:rsid w:val="00553369"/>
    <w:rsid w:val="005876BE"/>
    <w:rsid w:val="005D0131"/>
    <w:rsid w:val="006F48BC"/>
    <w:rsid w:val="006F583A"/>
    <w:rsid w:val="00A37A02"/>
    <w:rsid w:val="00AA1D8D"/>
    <w:rsid w:val="00B47730"/>
    <w:rsid w:val="00C27EC4"/>
    <w:rsid w:val="00C65C15"/>
    <w:rsid w:val="00CB0664"/>
    <w:rsid w:val="00DD45FC"/>
    <w:rsid w:val="00FC48A3"/>
    <w:rsid w:val="00FC693F"/>
    <w:rsid w:val="00FD4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8F7BC"/>
  <w14:defaultImageDpi w14:val="300"/>
  <w15:docId w15:val="{8CF18AE8-D7D1-45C0-8866-E98E82BF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144AA4"/>
    <w:pPr>
      <w:keepNext/>
      <w:keepLines/>
      <w:spacing w:before="240"/>
      <w:jc w:val="left"/>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44AA4"/>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44AA4"/>
    <w:rPr>
      <w:color w:val="0000FF" w:themeColor="hyperlink"/>
      <w:u w:val="single"/>
    </w:rPr>
  </w:style>
  <w:style w:type="character" w:styleId="UnresolvedMention">
    <w:name w:val="Unresolved Mention"/>
    <w:basedOn w:val="DefaultParagraphFont"/>
    <w:uiPriority w:val="99"/>
    <w:semiHidden/>
    <w:unhideWhenUsed/>
    <w:rsid w:val="00144AA4"/>
    <w:rPr>
      <w:color w:val="605E5C"/>
      <w:shd w:val="clear" w:color="auto" w:fill="E1DFDD"/>
    </w:rPr>
  </w:style>
  <w:style w:type="character" w:styleId="FollowedHyperlink">
    <w:name w:val="FollowedHyperlink"/>
    <w:basedOn w:val="DefaultParagraphFont"/>
    <w:uiPriority w:val="99"/>
    <w:semiHidden/>
    <w:unhideWhenUsed/>
    <w:rsid w:val="003A1D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65/amj.2023.0645" TargetMode="External"/><Relationship Id="rId13" Type="http://schemas.openxmlformats.org/officeDocument/2006/relationships/hyperlink" Target="https://doi.org/10.1007/s10551-017-3494-6" TargetMode="External"/><Relationship Id="rId18" Type="http://schemas.openxmlformats.org/officeDocument/2006/relationships/hyperlink" Target="https://doi.org/10.1080/0144929X.2024.230461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7/s10551-025-05996-w" TargetMode="External"/><Relationship Id="rId17" Type="http://schemas.openxmlformats.org/officeDocument/2006/relationships/hyperlink" Target="https://doi.org/10.1080/07421222.2023.2172773" TargetMode="External"/><Relationship Id="rId2" Type="http://schemas.openxmlformats.org/officeDocument/2006/relationships/numbering" Target="numbering.xml"/><Relationship Id="rId16" Type="http://schemas.openxmlformats.org/officeDocument/2006/relationships/hyperlink" Target="https://doi.org/10.1007/s10551-019-04133-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9639284.2022.2076565" TargetMode="External"/><Relationship Id="rId5" Type="http://schemas.openxmlformats.org/officeDocument/2006/relationships/webSettings" Target="webSettings.xml"/><Relationship Id="rId15" Type="http://schemas.openxmlformats.org/officeDocument/2006/relationships/hyperlink" Target="https://doi.org/10.1007/s10551-024-05869-8" TargetMode="External"/><Relationship Id="rId10" Type="http://schemas.openxmlformats.org/officeDocument/2006/relationships/hyperlink" Target="https://doi.org/10.1007/s10551-025-06044-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111/beer.12661" TargetMode="External"/><Relationship Id="rId14" Type="http://schemas.openxmlformats.org/officeDocument/2006/relationships/hyperlink" Target="https://doi.org/10.1080/0965254X.2023.22328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2840</Words>
  <Characters>16192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Decision-Making in a Confidentiality and Privacy Dilemma</dc:title>
  <dc:subject>MGN302 Assessment 1 Individual Reflection</dc:subject>
  <dc:creator>Adarsha Maharjan</dc:creator>
  <cp:keywords/>
  <dc:description>Prepared as a ready-to-submit academic draft using uploaded EBSCO sources.</dc:description>
  <cp:lastModifiedBy>Dipesh</cp:lastModifiedBy>
  <cp:revision>24</cp:revision>
  <dcterms:created xsi:type="dcterms:W3CDTF">2013-12-23T23:15:00Z</dcterms:created>
  <dcterms:modified xsi:type="dcterms:W3CDTF">2026-04-25T14:31:00Z</dcterms:modified>
  <cp:category/>
</cp:coreProperties>
</file>