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5880" w14:textId="77777777" w:rsidR="00475888" w:rsidRPr="002B61DF" w:rsidRDefault="00000000" w:rsidP="002B61DF">
      <w:pPr>
        <w:spacing w:line="360" w:lineRule="auto"/>
        <w:jc w:val="center"/>
        <w:rPr>
          <w:rFonts w:cs="Arial"/>
        </w:rPr>
      </w:pPr>
      <w:r w:rsidRPr="002B61DF">
        <w:rPr>
          <w:rFonts w:cs="Arial"/>
          <w:b/>
          <w:sz w:val="28"/>
        </w:rPr>
        <w:t>Top-Down Fundamental Analysis and Optimal Two-Share Portfolio</w:t>
      </w:r>
    </w:p>
    <w:p w14:paraId="0591E91D" w14:textId="77777777" w:rsidR="00475888" w:rsidRPr="002B61DF" w:rsidRDefault="00000000" w:rsidP="002B61DF">
      <w:pPr>
        <w:spacing w:line="360" w:lineRule="auto"/>
        <w:jc w:val="center"/>
        <w:rPr>
          <w:rFonts w:cs="Arial"/>
        </w:rPr>
      </w:pPr>
      <w:r w:rsidRPr="002B61DF">
        <w:rPr>
          <w:rFonts w:cs="Arial"/>
          <w:b/>
          <w:bCs/>
        </w:rPr>
        <w:t>Selected companies:</w:t>
      </w:r>
      <w:r w:rsidRPr="002B61DF">
        <w:rPr>
          <w:rFonts w:cs="Arial"/>
        </w:rPr>
        <w:t xml:space="preserve"> ANZ Group Holdings Limited (ASX: ANZ) and CSL Limited (ASX: CSL)</w:t>
      </w:r>
    </w:p>
    <w:p w14:paraId="2E13EC51" w14:textId="77777777" w:rsidR="00C862AF" w:rsidRPr="002B61DF" w:rsidRDefault="00C862AF" w:rsidP="002B61DF">
      <w:pPr>
        <w:spacing w:line="360" w:lineRule="auto"/>
        <w:jc w:val="center"/>
        <w:rPr>
          <w:rFonts w:cs="Arial"/>
        </w:rPr>
      </w:pPr>
    </w:p>
    <w:p w14:paraId="71A48871" w14:textId="77777777" w:rsidR="007B2E45" w:rsidRPr="002B61DF" w:rsidRDefault="007B2E45" w:rsidP="002B61DF">
      <w:pPr>
        <w:spacing w:line="360" w:lineRule="auto"/>
        <w:jc w:val="center"/>
        <w:rPr>
          <w:rFonts w:cs="Arial"/>
        </w:rPr>
      </w:pPr>
    </w:p>
    <w:p w14:paraId="0E104C81" w14:textId="77777777" w:rsidR="007B2E45" w:rsidRPr="002B61DF" w:rsidRDefault="007B2E45" w:rsidP="002B61DF">
      <w:pPr>
        <w:spacing w:line="360" w:lineRule="auto"/>
        <w:jc w:val="center"/>
        <w:rPr>
          <w:rFonts w:cs="Arial"/>
        </w:rPr>
      </w:pPr>
    </w:p>
    <w:p w14:paraId="0DBA71E3" w14:textId="77777777" w:rsidR="007B2E45" w:rsidRPr="002B61DF" w:rsidRDefault="007B2E45" w:rsidP="002B61DF">
      <w:pPr>
        <w:spacing w:line="360" w:lineRule="auto"/>
        <w:jc w:val="center"/>
        <w:rPr>
          <w:rFonts w:cs="Arial"/>
        </w:rPr>
      </w:pPr>
    </w:p>
    <w:p w14:paraId="083FA3E4" w14:textId="77777777" w:rsidR="007B2E45" w:rsidRPr="002B61DF" w:rsidRDefault="007B2E45" w:rsidP="002B61DF">
      <w:pPr>
        <w:spacing w:line="360" w:lineRule="auto"/>
        <w:jc w:val="center"/>
        <w:rPr>
          <w:rFonts w:cs="Arial"/>
        </w:rPr>
      </w:pPr>
    </w:p>
    <w:p w14:paraId="6E9FB1C1" w14:textId="77777777" w:rsidR="007B2E45" w:rsidRPr="002B61DF" w:rsidRDefault="007B2E45" w:rsidP="002B61DF">
      <w:pPr>
        <w:spacing w:line="360" w:lineRule="auto"/>
        <w:jc w:val="center"/>
        <w:rPr>
          <w:rFonts w:cs="Arial"/>
        </w:rPr>
      </w:pPr>
    </w:p>
    <w:p w14:paraId="72A7D66E" w14:textId="77777777" w:rsidR="007B2E45" w:rsidRPr="002B61DF" w:rsidRDefault="007B2E45" w:rsidP="002B61DF">
      <w:pPr>
        <w:spacing w:line="360" w:lineRule="auto"/>
        <w:jc w:val="center"/>
        <w:rPr>
          <w:rFonts w:cs="Arial"/>
        </w:rPr>
      </w:pPr>
    </w:p>
    <w:p w14:paraId="07C74A66" w14:textId="77777777" w:rsidR="007B2E45" w:rsidRPr="002B61DF" w:rsidRDefault="007B2E45" w:rsidP="002B61DF">
      <w:pPr>
        <w:spacing w:line="360" w:lineRule="auto"/>
        <w:jc w:val="center"/>
        <w:rPr>
          <w:rFonts w:cs="Arial"/>
        </w:rPr>
      </w:pPr>
    </w:p>
    <w:p w14:paraId="16C577CB" w14:textId="77777777" w:rsidR="007B2E45" w:rsidRPr="002B61DF" w:rsidRDefault="007B2E45" w:rsidP="002B61DF">
      <w:pPr>
        <w:spacing w:line="360" w:lineRule="auto"/>
        <w:jc w:val="center"/>
        <w:rPr>
          <w:rFonts w:cs="Arial"/>
        </w:rPr>
      </w:pPr>
    </w:p>
    <w:p w14:paraId="2A1FCB17" w14:textId="77777777" w:rsidR="007B2E45" w:rsidRPr="002B61DF" w:rsidRDefault="007B2E45" w:rsidP="002B61DF">
      <w:pPr>
        <w:spacing w:line="360" w:lineRule="auto"/>
        <w:jc w:val="center"/>
        <w:rPr>
          <w:rFonts w:cs="Arial"/>
        </w:rPr>
      </w:pPr>
    </w:p>
    <w:p w14:paraId="40515A3D" w14:textId="77777777" w:rsidR="007B2E45" w:rsidRPr="002B61DF" w:rsidRDefault="007B2E45" w:rsidP="002B61DF">
      <w:pPr>
        <w:spacing w:line="360" w:lineRule="auto"/>
        <w:jc w:val="center"/>
        <w:rPr>
          <w:rFonts w:cs="Arial"/>
        </w:rPr>
      </w:pPr>
    </w:p>
    <w:p w14:paraId="26D9A561" w14:textId="77777777" w:rsidR="007B2E45" w:rsidRPr="002B61DF" w:rsidRDefault="007B2E45" w:rsidP="002B61DF">
      <w:pPr>
        <w:spacing w:line="360" w:lineRule="auto"/>
        <w:jc w:val="center"/>
        <w:rPr>
          <w:rFonts w:cs="Arial"/>
        </w:rPr>
      </w:pPr>
    </w:p>
    <w:p w14:paraId="0F66ABE7" w14:textId="77777777" w:rsidR="007B2E45" w:rsidRPr="002B61DF" w:rsidRDefault="007B2E45" w:rsidP="002B61DF">
      <w:pPr>
        <w:spacing w:line="360" w:lineRule="auto"/>
        <w:jc w:val="center"/>
        <w:rPr>
          <w:rFonts w:cs="Arial"/>
        </w:rPr>
      </w:pPr>
    </w:p>
    <w:p w14:paraId="035D30C4" w14:textId="77777777" w:rsidR="002B61DF" w:rsidRPr="002B61DF" w:rsidRDefault="002B61DF" w:rsidP="002B61DF">
      <w:pPr>
        <w:spacing w:line="360" w:lineRule="auto"/>
        <w:rPr>
          <w:rFonts w:cs="Arial"/>
        </w:rPr>
        <w:sectPr w:rsidR="002B61DF" w:rsidRPr="002B61DF" w:rsidSect="00034616">
          <w:footerReference w:type="default" r:id="rId8"/>
          <w:pgSz w:w="12240" w:h="15840"/>
          <w:pgMar w:top="1417" w:right="1417" w:bottom="1417" w:left="1417" w:header="720" w:footer="720" w:gutter="0"/>
          <w:cols w:space="720"/>
          <w:docGrid w:linePitch="360"/>
        </w:sectPr>
      </w:pPr>
    </w:p>
    <w:p w14:paraId="0760700A" w14:textId="77777777" w:rsidR="007B2E45" w:rsidRPr="002B61DF" w:rsidRDefault="007B2E45" w:rsidP="002B61DF">
      <w:pPr>
        <w:spacing w:line="360" w:lineRule="auto"/>
        <w:rPr>
          <w:rFonts w:cs="Arial"/>
        </w:rPr>
      </w:pPr>
    </w:p>
    <w:p w14:paraId="1D93CEA8" w14:textId="7B6BF989" w:rsidR="00C862AF" w:rsidRPr="002B61DF" w:rsidRDefault="00C862AF" w:rsidP="002B61DF">
      <w:pPr>
        <w:pStyle w:val="Heading1"/>
        <w:numPr>
          <w:ilvl w:val="0"/>
          <w:numId w:val="0"/>
        </w:numPr>
        <w:ind w:left="432" w:hanging="432"/>
      </w:pPr>
      <w:bookmarkStart w:id="0" w:name="_Toc229524578"/>
      <w:r w:rsidRPr="002B61DF">
        <w:t>Executive summary</w:t>
      </w:r>
      <w:bookmarkEnd w:id="0"/>
    </w:p>
    <w:p w14:paraId="7B0D5795" w14:textId="77777777" w:rsidR="00C862AF" w:rsidRPr="002B61DF" w:rsidRDefault="00C862AF" w:rsidP="002B61DF">
      <w:pPr>
        <w:spacing w:line="360" w:lineRule="auto"/>
        <w:jc w:val="both"/>
        <w:rPr>
          <w:rFonts w:cs="Arial"/>
        </w:rPr>
      </w:pPr>
      <w:r w:rsidRPr="002B61DF">
        <w:rPr>
          <w:rFonts w:cs="Arial"/>
        </w:rPr>
        <w:t xml:space="preserve">This report examines an Australian equity investor who has a total portfolio of A$150,000, allocating funds between ANZ Group Holdings Limited (ASX: ANZ) and CSL Limited (ASX: CSL) in a top down fundamental and portfolio </w:t>
      </w:r>
      <w:proofErr w:type="spellStart"/>
      <w:r w:rsidRPr="002B61DF">
        <w:rPr>
          <w:rFonts w:cs="Arial"/>
        </w:rPr>
        <w:t>optimisation</w:t>
      </w:r>
      <w:proofErr w:type="spellEnd"/>
      <w:r w:rsidRPr="002B61DF">
        <w:rPr>
          <w:rFonts w:cs="Arial"/>
        </w:rPr>
        <w:t xml:space="preserve"> analysis. Global growth is moderate, inflation is still a problem and the RBA cash rate is at 3.60%, so it is important to be selective when it comes to stock exposure. </w:t>
      </w:r>
    </w:p>
    <w:p w14:paraId="49E5F866" w14:textId="77777777" w:rsidR="00C862AF" w:rsidRPr="002B61DF" w:rsidRDefault="00C862AF" w:rsidP="002B61DF">
      <w:pPr>
        <w:spacing w:line="360" w:lineRule="auto"/>
        <w:jc w:val="both"/>
        <w:rPr>
          <w:rFonts w:cs="Arial"/>
        </w:rPr>
      </w:pPr>
      <w:r w:rsidRPr="002B61DF">
        <w:rPr>
          <w:rFonts w:cs="Arial"/>
        </w:rPr>
        <w:t xml:space="preserve">The suggested portfolio is 62% ANZ and 38% CSL. The higher allocation for ANZ is due to dividend income, less volatility, recent earnings improvement and upside from restructuring. CSL is added to the portfolio for diversification and recovery potential for global health care exposure, but has a lower weighting because of higher volatility, downgrades, restructuring risk and impairment concerns. </w:t>
      </w:r>
    </w:p>
    <w:p w14:paraId="575E9EAF" w14:textId="167731E8" w:rsidR="00C862AF" w:rsidRPr="002B61DF" w:rsidRDefault="00C862AF" w:rsidP="002B61DF">
      <w:pPr>
        <w:spacing w:line="360" w:lineRule="auto"/>
        <w:jc w:val="both"/>
        <w:rPr>
          <w:rFonts w:cs="Arial"/>
        </w:rPr>
      </w:pPr>
      <w:r w:rsidRPr="002B61DF">
        <w:rPr>
          <w:rFonts w:cs="Arial"/>
        </w:rPr>
        <w:t xml:space="preserve">The expected return of the selected portfolio is 11.07%, the </w:t>
      </w:r>
      <w:proofErr w:type="spellStart"/>
      <w:r w:rsidRPr="002B61DF">
        <w:rPr>
          <w:rFonts w:cs="Arial"/>
        </w:rPr>
        <w:t>annualised</w:t>
      </w:r>
      <w:proofErr w:type="spellEnd"/>
      <w:r w:rsidRPr="002B61DF">
        <w:rPr>
          <w:rFonts w:cs="Arial"/>
        </w:rPr>
        <w:t xml:space="preserve"> risk is 11.40%, and the ratio of reward to risk is 0.66. This represents about A$93,000 in ANZ and A$57,000 in CSL or around 2,559 ANZ shares and 330 CSL shares at end-2025 prices. Overall, the portfolio is well diversified with a balance of income and banking exposure from ANZ and diversification and recovery upside from CSL, with the negative correlation between the two shares reducing risk.</w:t>
      </w:r>
    </w:p>
    <w:p w14:paraId="3793AD77" w14:textId="77777777" w:rsidR="007B2E45" w:rsidRPr="002B61DF" w:rsidRDefault="007B2E45" w:rsidP="002B61DF">
      <w:pPr>
        <w:spacing w:line="360" w:lineRule="auto"/>
        <w:rPr>
          <w:rFonts w:cs="Arial"/>
        </w:rPr>
      </w:pPr>
    </w:p>
    <w:p w14:paraId="3E5C9D69" w14:textId="77777777" w:rsidR="007B2E45" w:rsidRPr="002B61DF" w:rsidRDefault="007B2E45" w:rsidP="002B61DF">
      <w:pPr>
        <w:spacing w:line="360" w:lineRule="auto"/>
        <w:rPr>
          <w:rFonts w:cs="Arial"/>
        </w:rPr>
      </w:pPr>
    </w:p>
    <w:p w14:paraId="2DE848FC" w14:textId="77777777" w:rsidR="007B2E45" w:rsidRPr="002B61DF" w:rsidRDefault="007B2E45" w:rsidP="002B61DF">
      <w:pPr>
        <w:spacing w:line="360" w:lineRule="auto"/>
        <w:rPr>
          <w:rFonts w:cs="Arial"/>
        </w:rPr>
      </w:pPr>
    </w:p>
    <w:p w14:paraId="3F6C7A1E" w14:textId="77777777" w:rsidR="007B2E45" w:rsidRPr="002B61DF" w:rsidRDefault="007B2E45" w:rsidP="002B61DF">
      <w:pPr>
        <w:spacing w:line="360" w:lineRule="auto"/>
        <w:rPr>
          <w:rFonts w:cs="Arial"/>
        </w:rPr>
      </w:pPr>
    </w:p>
    <w:p w14:paraId="689F0A8B" w14:textId="77777777" w:rsidR="007B2E45" w:rsidRPr="002B61DF" w:rsidRDefault="007B2E45" w:rsidP="002B61DF">
      <w:pPr>
        <w:spacing w:line="360" w:lineRule="auto"/>
        <w:rPr>
          <w:rFonts w:cs="Arial"/>
        </w:rPr>
      </w:pPr>
    </w:p>
    <w:p w14:paraId="7BCC8083" w14:textId="77777777" w:rsidR="007B2E45" w:rsidRPr="002B61DF" w:rsidRDefault="007B2E45" w:rsidP="002B61DF">
      <w:pPr>
        <w:spacing w:line="360" w:lineRule="auto"/>
        <w:rPr>
          <w:rFonts w:cs="Arial"/>
        </w:rPr>
      </w:pPr>
    </w:p>
    <w:p w14:paraId="7DEAA43F" w14:textId="77777777" w:rsidR="007B2E45" w:rsidRPr="002B61DF" w:rsidRDefault="007B2E45" w:rsidP="002B61DF">
      <w:pPr>
        <w:spacing w:line="360" w:lineRule="auto"/>
        <w:rPr>
          <w:rFonts w:cs="Arial"/>
        </w:rPr>
      </w:pPr>
    </w:p>
    <w:sdt>
      <w:sdtPr>
        <w:rPr>
          <w:rFonts w:cs="Arial"/>
          <w:b/>
          <w:bCs/>
        </w:rPr>
        <w:id w:val="102079983"/>
        <w:docPartObj>
          <w:docPartGallery w:val="Table of Contents"/>
          <w:docPartUnique/>
        </w:docPartObj>
      </w:sdtPr>
      <w:sdtEndPr>
        <w:rPr>
          <w:noProof/>
        </w:rPr>
      </w:sdtEndPr>
      <w:sdtContent>
        <w:p w14:paraId="75A7AA27" w14:textId="7046FAA3" w:rsidR="007B2E45" w:rsidRPr="002B61DF" w:rsidRDefault="007B2E45" w:rsidP="002B61DF">
          <w:pPr>
            <w:spacing w:line="360" w:lineRule="auto"/>
            <w:rPr>
              <w:rFonts w:cs="Arial"/>
              <w:b/>
              <w:bCs/>
            </w:rPr>
          </w:pPr>
          <w:r w:rsidRPr="002B61DF">
            <w:rPr>
              <w:rFonts w:cs="Arial"/>
              <w:b/>
              <w:bCs/>
            </w:rPr>
            <w:t>Table of Contents</w:t>
          </w:r>
        </w:p>
        <w:p w14:paraId="598CD964" w14:textId="594EC4E1" w:rsidR="002B61DF" w:rsidRPr="002B61DF" w:rsidRDefault="007B2E45" w:rsidP="002B61DF">
          <w:pPr>
            <w:pStyle w:val="TOC1"/>
            <w:spacing w:line="360" w:lineRule="auto"/>
            <w:rPr>
              <w:rFonts w:eastAsiaTheme="minorEastAsia" w:cs="Arial"/>
              <w:noProof/>
              <w:kern w:val="2"/>
              <w:szCs w:val="24"/>
              <w14:ligatures w14:val="standardContextual"/>
            </w:rPr>
          </w:pPr>
          <w:r w:rsidRPr="002B61DF">
            <w:rPr>
              <w:rFonts w:cs="Arial"/>
            </w:rPr>
            <w:fldChar w:fldCharType="begin"/>
          </w:r>
          <w:r w:rsidRPr="002B61DF">
            <w:rPr>
              <w:rFonts w:cs="Arial"/>
            </w:rPr>
            <w:instrText xml:space="preserve"> TOC \o "1-3" \h \z \u </w:instrText>
          </w:r>
          <w:r w:rsidRPr="002B61DF">
            <w:rPr>
              <w:rFonts w:cs="Arial"/>
            </w:rPr>
            <w:fldChar w:fldCharType="separate"/>
          </w:r>
          <w:hyperlink w:anchor="_Toc229524578" w:history="1">
            <w:r w:rsidR="002B61DF" w:rsidRPr="002B61DF">
              <w:rPr>
                <w:rStyle w:val="Hyperlink"/>
                <w:rFonts w:cs="Arial"/>
                <w:noProof/>
              </w:rPr>
              <w:t>Executive summary</w:t>
            </w:r>
            <w:r w:rsidR="002B61DF" w:rsidRPr="002B61DF">
              <w:rPr>
                <w:rFonts w:cs="Arial"/>
                <w:noProof/>
                <w:webHidden/>
              </w:rPr>
              <w:tab/>
            </w:r>
            <w:r w:rsidR="002B61DF" w:rsidRPr="002B61DF">
              <w:rPr>
                <w:rFonts w:cs="Arial"/>
                <w:noProof/>
                <w:webHidden/>
              </w:rPr>
              <w:fldChar w:fldCharType="begin"/>
            </w:r>
            <w:r w:rsidR="002B61DF" w:rsidRPr="002B61DF">
              <w:rPr>
                <w:rFonts w:cs="Arial"/>
                <w:noProof/>
                <w:webHidden/>
              </w:rPr>
              <w:instrText xml:space="preserve"> PAGEREF _Toc229524578 \h </w:instrText>
            </w:r>
            <w:r w:rsidR="002B61DF" w:rsidRPr="002B61DF">
              <w:rPr>
                <w:rFonts w:cs="Arial"/>
                <w:noProof/>
                <w:webHidden/>
              </w:rPr>
            </w:r>
            <w:r w:rsidR="002B61DF" w:rsidRPr="002B61DF">
              <w:rPr>
                <w:rFonts w:cs="Arial"/>
                <w:noProof/>
                <w:webHidden/>
              </w:rPr>
              <w:fldChar w:fldCharType="separate"/>
            </w:r>
            <w:r w:rsidR="002B61DF">
              <w:rPr>
                <w:rFonts w:cs="Arial"/>
                <w:noProof/>
                <w:webHidden/>
              </w:rPr>
              <w:t>i</w:t>
            </w:r>
            <w:r w:rsidR="002B61DF" w:rsidRPr="002B61DF">
              <w:rPr>
                <w:rFonts w:cs="Arial"/>
                <w:noProof/>
                <w:webHidden/>
              </w:rPr>
              <w:fldChar w:fldCharType="end"/>
            </w:r>
          </w:hyperlink>
        </w:p>
        <w:p w14:paraId="0B7CAE8B" w14:textId="68DA1102"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79" w:history="1">
            <w:r w:rsidRPr="002B61DF">
              <w:rPr>
                <w:rStyle w:val="Hyperlink"/>
                <w:rFonts w:cs="Arial"/>
                <w:noProof/>
              </w:rPr>
              <w:t>1</w:t>
            </w:r>
            <w:r w:rsidRPr="002B61DF">
              <w:rPr>
                <w:rFonts w:eastAsiaTheme="minorEastAsia" w:cs="Arial"/>
                <w:noProof/>
                <w:kern w:val="2"/>
                <w:szCs w:val="24"/>
                <w14:ligatures w14:val="standardContextual"/>
              </w:rPr>
              <w:tab/>
            </w:r>
            <w:r w:rsidRPr="002B61DF">
              <w:rPr>
                <w:rStyle w:val="Hyperlink"/>
                <w:rFonts w:cs="Arial"/>
                <w:noProof/>
              </w:rPr>
              <w:t>Introduction</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_Toc229524579 \h </w:instrText>
            </w:r>
            <w:r w:rsidRPr="002B61DF">
              <w:rPr>
                <w:rFonts w:cs="Arial"/>
                <w:noProof/>
                <w:webHidden/>
              </w:rPr>
            </w:r>
            <w:r w:rsidRPr="002B61DF">
              <w:rPr>
                <w:rFonts w:cs="Arial"/>
                <w:noProof/>
                <w:webHidden/>
              </w:rPr>
              <w:fldChar w:fldCharType="separate"/>
            </w:r>
            <w:r>
              <w:rPr>
                <w:rFonts w:cs="Arial"/>
                <w:noProof/>
                <w:webHidden/>
              </w:rPr>
              <w:t>1</w:t>
            </w:r>
            <w:r w:rsidRPr="002B61DF">
              <w:rPr>
                <w:rFonts w:cs="Arial"/>
                <w:noProof/>
                <w:webHidden/>
              </w:rPr>
              <w:fldChar w:fldCharType="end"/>
            </w:r>
          </w:hyperlink>
        </w:p>
        <w:p w14:paraId="4940BC79" w14:textId="6867D8C3"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0" w:history="1">
            <w:r w:rsidRPr="002B61DF">
              <w:rPr>
                <w:rStyle w:val="Hyperlink"/>
                <w:rFonts w:cs="Arial"/>
                <w:noProof/>
              </w:rPr>
              <w:t>2</w:t>
            </w:r>
            <w:r w:rsidRPr="002B61DF">
              <w:rPr>
                <w:rFonts w:eastAsiaTheme="minorEastAsia" w:cs="Arial"/>
                <w:noProof/>
                <w:kern w:val="2"/>
                <w:szCs w:val="24"/>
                <w14:ligatures w14:val="standardContextual"/>
              </w:rPr>
              <w:tab/>
            </w:r>
            <w:r w:rsidRPr="002B61DF">
              <w:rPr>
                <w:rStyle w:val="Hyperlink"/>
                <w:rFonts w:cs="Arial"/>
                <w:noProof/>
              </w:rPr>
              <w:t>Top-down analysis of the investment environment</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_Toc229524580 \h </w:instrText>
            </w:r>
            <w:r w:rsidRPr="002B61DF">
              <w:rPr>
                <w:rFonts w:cs="Arial"/>
                <w:noProof/>
                <w:webHidden/>
              </w:rPr>
            </w:r>
            <w:r w:rsidRPr="002B61DF">
              <w:rPr>
                <w:rFonts w:cs="Arial"/>
                <w:noProof/>
                <w:webHidden/>
              </w:rPr>
              <w:fldChar w:fldCharType="separate"/>
            </w:r>
            <w:r>
              <w:rPr>
                <w:rFonts w:cs="Arial"/>
                <w:noProof/>
                <w:webHidden/>
              </w:rPr>
              <w:t>1</w:t>
            </w:r>
            <w:r w:rsidRPr="002B61DF">
              <w:rPr>
                <w:rFonts w:cs="Arial"/>
                <w:noProof/>
                <w:webHidden/>
              </w:rPr>
              <w:fldChar w:fldCharType="end"/>
            </w:r>
          </w:hyperlink>
        </w:p>
        <w:p w14:paraId="538B4DB7" w14:textId="05FC114A"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1" w:history="1">
            <w:r w:rsidRPr="002B61DF">
              <w:rPr>
                <w:rStyle w:val="Hyperlink"/>
                <w:rFonts w:cs="Arial"/>
                <w:noProof/>
              </w:rPr>
              <w:t>3</w:t>
            </w:r>
            <w:r w:rsidRPr="002B61DF">
              <w:rPr>
                <w:rFonts w:eastAsiaTheme="minorEastAsia" w:cs="Arial"/>
                <w:noProof/>
                <w:kern w:val="2"/>
                <w:szCs w:val="24"/>
                <w14:ligatures w14:val="standardContextual"/>
              </w:rPr>
              <w:tab/>
            </w:r>
            <w:r w:rsidRPr="002B61DF">
              <w:rPr>
                <w:rStyle w:val="Hyperlink"/>
                <w:rFonts w:cs="Arial"/>
                <w:noProof/>
              </w:rPr>
              <w:t>Industry and security analysis</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_Toc229524581 \h </w:instrText>
            </w:r>
            <w:r w:rsidRPr="002B61DF">
              <w:rPr>
                <w:rFonts w:cs="Arial"/>
                <w:noProof/>
                <w:webHidden/>
              </w:rPr>
            </w:r>
            <w:r w:rsidRPr="002B61DF">
              <w:rPr>
                <w:rFonts w:cs="Arial"/>
                <w:noProof/>
                <w:webHidden/>
              </w:rPr>
              <w:fldChar w:fldCharType="separate"/>
            </w:r>
            <w:r>
              <w:rPr>
                <w:rFonts w:cs="Arial"/>
                <w:noProof/>
                <w:webHidden/>
              </w:rPr>
              <w:t>3</w:t>
            </w:r>
            <w:r w:rsidRPr="002B61DF">
              <w:rPr>
                <w:rFonts w:cs="Arial"/>
                <w:noProof/>
                <w:webHidden/>
              </w:rPr>
              <w:fldChar w:fldCharType="end"/>
            </w:r>
          </w:hyperlink>
        </w:p>
        <w:p w14:paraId="22314491" w14:textId="757C12BA"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2" w:history="1">
            <w:r w:rsidRPr="002B61DF">
              <w:rPr>
                <w:rStyle w:val="Hyperlink"/>
                <w:rFonts w:cs="Arial"/>
                <w:noProof/>
              </w:rPr>
              <w:t>4</w:t>
            </w:r>
            <w:r w:rsidRPr="002B61DF">
              <w:rPr>
                <w:rFonts w:eastAsiaTheme="minorEastAsia" w:cs="Arial"/>
                <w:noProof/>
                <w:kern w:val="2"/>
                <w:szCs w:val="24"/>
                <w14:ligatures w14:val="standardContextual"/>
              </w:rPr>
              <w:tab/>
            </w:r>
            <w:r w:rsidRPr="002B61DF">
              <w:rPr>
                <w:rStyle w:val="Hyperlink"/>
                <w:rFonts w:cs="Arial"/>
                <w:noProof/>
              </w:rPr>
              <w:t>Quantitative return, risk and expected return derivation</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_Toc229524582 \h </w:instrText>
            </w:r>
            <w:r w:rsidRPr="002B61DF">
              <w:rPr>
                <w:rFonts w:cs="Arial"/>
                <w:noProof/>
                <w:webHidden/>
              </w:rPr>
            </w:r>
            <w:r w:rsidRPr="002B61DF">
              <w:rPr>
                <w:rFonts w:cs="Arial"/>
                <w:noProof/>
                <w:webHidden/>
              </w:rPr>
              <w:fldChar w:fldCharType="separate"/>
            </w:r>
            <w:r>
              <w:rPr>
                <w:rFonts w:cs="Arial"/>
                <w:noProof/>
                <w:webHidden/>
              </w:rPr>
              <w:t>4</w:t>
            </w:r>
            <w:r w:rsidRPr="002B61DF">
              <w:rPr>
                <w:rFonts w:cs="Arial"/>
                <w:noProof/>
                <w:webHidden/>
              </w:rPr>
              <w:fldChar w:fldCharType="end"/>
            </w:r>
          </w:hyperlink>
        </w:p>
        <w:p w14:paraId="57203568" w14:textId="50F115BE"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3" w:history="1">
            <w:r w:rsidRPr="002B61DF">
              <w:rPr>
                <w:rStyle w:val="Hyperlink"/>
                <w:rFonts w:cs="Arial"/>
                <w:noProof/>
              </w:rPr>
              <w:t>5</w:t>
            </w:r>
            <w:r w:rsidRPr="002B61DF">
              <w:rPr>
                <w:rFonts w:eastAsiaTheme="minorEastAsia" w:cs="Arial"/>
                <w:noProof/>
                <w:kern w:val="2"/>
                <w:szCs w:val="24"/>
                <w14:ligatures w14:val="standardContextual"/>
              </w:rPr>
              <w:tab/>
            </w:r>
            <w:r w:rsidRPr="002B61DF">
              <w:rPr>
                <w:rStyle w:val="Hyperlink"/>
                <w:rFonts w:cs="Arial"/>
                <w:noProof/>
              </w:rPr>
              <w:t>Portfolio construction and optimal allocation</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_Toc229524583 \h </w:instrText>
            </w:r>
            <w:r w:rsidRPr="002B61DF">
              <w:rPr>
                <w:rFonts w:cs="Arial"/>
                <w:noProof/>
                <w:webHidden/>
              </w:rPr>
            </w:r>
            <w:r w:rsidRPr="002B61DF">
              <w:rPr>
                <w:rFonts w:cs="Arial"/>
                <w:noProof/>
                <w:webHidden/>
              </w:rPr>
              <w:fldChar w:fldCharType="separate"/>
            </w:r>
            <w:r>
              <w:rPr>
                <w:rFonts w:cs="Arial"/>
                <w:noProof/>
                <w:webHidden/>
              </w:rPr>
              <w:t>7</w:t>
            </w:r>
            <w:r w:rsidRPr="002B61DF">
              <w:rPr>
                <w:rFonts w:cs="Arial"/>
                <w:noProof/>
                <w:webHidden/>
              </w:rPr>
              <w:fldChar w:fldCharType="end"/>
            </w:r>
          </w:hyperlink>
        </w:p>
        <w:p w14:paraId="09ADC29B" w14:textId="529CBAA2"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4" w:history="1">
            <w:r w:rsidRPr="002B61DF">
              <w:rPr>
                <w:rStyle w:val="Hyperlink"/>
                <w:rFonts w:cs="Arial"/>
                <w:noProof/>
              </w:rPr>
              <w:t>6</w:t>
            </w:r>
            <w:r w:rsidRPr="002B61DF">
              <w:rPr>
                <w:rFonts w:eastAsiaTheme="minorEastAsia" w:cs="Arial"/>
                <w:noProof/>
                <w:kern w:val="2"/>
                <w:szCs w:val="24"/>
                <w14:ligatures w14:val="standardContextual"/>
              </w:rPr>
              <w:tab/>
            </w:r>
            <w:r w:rsidRPr="002B61DF">
              <w:rPr>
                <w:rStyle w:val="Hyperlink"/>
                <w:rFonts w:cs="Arial"/>
                <w:noProof/>
              </w:rPr>
              <w:t>Sensitivity analysis of optimal weights</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_Toc229524584 \h </w:instrText>
            </w:r>
            <w:r w:rsidRPr="002B61DF">
              <w:rPr>
                <w:rFonts w:cs="Arial"/>
                <w:noProof/>
                <w:webHidden/>
              </w:rPr>
            </w:r>
            <w:r w:rsidRPr="002B61DF">
              <w:rPr>
                <w:rFonts w:cs="Arial"/>
                <w:noProof/>
                <w:webHidden/>
              </w:rPr>
              <w:fldChar w:fldCharType="separate"/>
            </w:r>
            <w:r>
              <w:rPr>
                <w:rFonts w:cs="Arial"/>
                <w:noProof/>
                <w:webHidden/>
              </w:rPr>
              <w:t>9</w:t>
            </w:r>
            <w:r w:rsidRPr="002B61DF">
              <w:rPr>
                <w:rFonts w:cs="Arial"/>
                <w:noProof/>
                <w:webHidden/>
              </w:rPr>
              <w:fldChar w:fldCharType="end"/>
            </w:r>
          </w:hyperlink>
        </w:p>
        <w:p w14:paraId="6A0F7665" w14:textId="556D4352"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5" w:history="1">
            <w:r w:rsidRPr="002B61DF">
              <w:rPr>
                <w:rStyle w:val="Hyperlink"/>
                <w:rFonts w:cs="Arial"/>
                <w:noProof/>
              </w:rPr>
              <w:t>7</w:t>
            </w:r>
            <w:r w:rsidRPr="002B61DF">
              <w:rPr>
                <w:rFonts w:eastAsiaTheme="minorEastAsia" w:cs="Arial"/>
                <w:noProof/>
                <w:kern w:val="2"/>
                <w:szCs w:val="24"/>
                <w14:ligatures w14:val="standardContextual"/>
              </w:rPr>
              <w:tab/>
            </w:r>
            <w:r w:rsidRPr="002B61DF">
              <w:rPr>
                <w:rStyle w:val="Hyperlink"/>
                <w:rFonts w:cs="Arial"/>
                <w:noProof/>
              </w:rPr>
              <w:t>Recommendation, implementation and monitoring</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_Toc229524585 \h </w:instrText>
            </w:r>
            <w:r w:rsidRPr="002B61DF">
              <w:rPr>
                <w:rFonts w:cs="Arial"/>
                <w:noProof/>
                <w:webHidden/>
              </w:rPr>
            </w:r>
            <w:r w:rsidRPr="002B61DF">
              <w:rPr>
                <w:rFonts w:cs="Arial"/>
                <w:noProof/>
                <w:webHidden/>
              </w:rPr>
              <w:fldChar w:fldCharType="separate"/>
            </w:r>
            <w:r>
              <w:rPr>
                <w:rFonts w:cs="Arial"/>
                <w:noProof/>
                <w:webHidden/>
              </w:rPr>
              <w:t>10</w:t>
            </w:r>
            <w:r w:rsidRPr="002B61DF">
              <w:rPr>
                <w:rFonts w:cs="Arial"/>
                <w:noProof/>
                <w:webHidden/>
              </w:rPr>
              <w:fldChar w:fldCharType="end"/>
            </w:r>
          </w:hyperlink>
        </w:p>
        <w:p w14:paraId="6E3DE278" w14:textId="6BC4411C"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6" w:history="1">
            <w:r w:rsidRPr="002B61DF">
              <w:rPr>
                <w:rStyle w:val="Hyperlink"/>
                <w:rFonts w:cs="Arial"/>
                <w:noProof/>
              </w:rPr>
              <w:t>8</w:t>
            </w:r>
            <w:r w:rsidRPr="002B61DF">
              <w:rPr>
                <w:rFonts w:eastAsiaTheme="minorEastAsia" w:cs="Arial"/>
                <w:noProof/>
                <w:kern w:val="2"/>
                <w:szCs w:val="24"/>
                <w14:ligatures w14:val="standardContextual"/>
              </w:rPr>
              <w:tab/>
            </w:r>
            <w:r w:rsidRPr="002B61DF">
              <w:rPr>
                <w:rStyle w:val="Hyperlink"/>
                <w:rFonts w:cs="Arial"/>
                <w:noProof/>
              </w:rPr>
              <w:t>Conclusion</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_Toc229524586 \h </w:instrText>
            </w:r>
            <w:r w:rsidRPr="002B61DF">
              <w:rPr>
                <w:rFonts w:cs="Arial"/>
                <w:noProof/>
                <w:webHidden/>
              </w:rPr>
            </w:r>
            <w:r w:rsidRPr="002B61DF">
              <w:rPr>
                <w:rFonts w:cs="Arial"/>
                <w:noProof/>
                <w:webHidden/>
              </w:rPr>
              <w:fldChar w:fldCharType="separate"/>
            </w:r>
            <w:r>
              <w:rPr>
                <w:rFonts w:cs="Arial"/>
                <w:noProof/>
                <w:webHidden/>
              </w:rPr>
              <w:t>11</w:t>
            </w:r>
            <w:r w:rsidRPr="002B61DF">
              <w:rPr>
                <w:rFonts w:cs="Arial"/>
                <w:noProof/>
                <w:webHidden/>
              </w:rPr>
              <w:fldChar w:fldCharType="end"/>
            </w:r>
          </w:hyperlink>
        </w:p>
        <w:p w14:paraId="5726175E" w14:textId="7D254FB1" w:rsidR="002B61DF" w:rsidRPr="002B61DF" w:rsidRDefault="002B61DF" w:rsidP="002B61DF">
          <w:pPr>
            <w:pStyle w:val="TOC1"/>
            <w:tabs>
              <w:tab w:val="left" w:pos="480"/>
            </w:tabs>
            <w:spacing w:line="360" w:lineRule="auto"/>
            <w:rPr>
              <w:rFonts w:eastAsiaTheme="minorEastAsia" w:cs="Arial"/>
              <w:noProof/>
              <w:kern w:val="2"/>
              <w:szCs w:val="24"/>
              <w14:ligatures w14:val="standardContextual"/>
            </w:rPr>
          </w:pPr>
          <w:hyperlink w:anchor="_Toc229524587" w:history="1">
            <w:r w:rsidRPr="002B61DF">
              <w:rPr>
                <w:rStyle w:val="Hyperlink"/>
                <w:rFonts w:cs="Arial"/>
                <w:noProof/>
              </w:rPr>
              <w:t>9</w:t>
            </w:r>
            <w:r w:rsidRPr="002B61DF">
              <w:rPr>
                <w:rFonts w:eastAsiaTheme="minorEastAsia" w:cs="Arial"/>
                <w:noProof/>
                <w:kern w:val="2"/>
                <w:szCs w:val="24"/>
                <w14:ligatures w14:val="standardContextual"/>
              </w:rPr>
              <w:tab/>
            </w:r>
            <w:r w:rsidRPr="002B61DF">
              <w:rPr>
                <w:rStyle w:val="Hyperlink"/>
                <w:rFonts w:cs="Arial"/>
                <w:noProof/>
              </w:rPr>
              <w:t>Reference List</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_Toc229524587 \h </w:instrText>
            </w:r>
            <w:r w:rsidRPr="002B61DF">
              <w:rPr>
                <w:rFonts w:cs="Arial"/>
                <w:noProof/>
                <w:webHidden/>
              </w:rPr>
            </w:r>
            <w:r w:rsidRPr="002B61DF">
              <w:rPr>
                <w:rFonts w:cs="Arial"/>
                <w:noProof/>
                <w:webHidden/>
              </w:rPr>
              <w:fldChar w:fldCharType="separate"/>
            </w:r>
            <w:r>
              <w:rPr>
                <w:rFonts w:cs="Arial"/>
                <w:noProof/>
                <w:webHidden/>
              </w:rPr>
              <w:t>12</w:t>
            </w:r>
            <w:r w:rsidRPr="002B61DF">
              <w:rPr>
                <w:rFonts w:cs="Arial"/>
                <w:noProof/>
                <w:webHidden/>
              </w:rPr>
              <w:fldChar w:fldCharType="end"/>
            </w:r>
          </w:hyperlink>
        </w:p>
        <w:p w14:paraId="6B5B6210" w14:textId="13968BDB" w:rsidR="002B61DF" w:rsidRPr="002B61DF" w:rsidRDefault="002B61DF" w:rsidP="002B61DF">
          <w:pPr>
            <w:pStyle w:val="TOC1"/>
            <w:tabs>
              <w:tab w:val="left" w:pos="720"/>
            </w:tabs>
            <w:spacing w:line="360" w:lineRule="auto"/>
            <w:rPr>
              <w:rFonts w:eastAsiaTheme="minorEastAsia" w:cs="Arial"/>
              <w:noProof/>
              <w:kern w:val="2"/>
              <w:szCs w:val="24"/>
              <w14:ligatures w14:val="standardContextual"/>
            </w:rPr>
          </w:pPr>
          <w:hyperlink w:anchor="_Toc229524588" w:history="1">
            <w:r w:rsidRPr="002B61DF">
              <w:rPr>
                <w:rStyle w:val="Hyperlink"/>
                <w:rFonts w:cs="Arial"/>
                <w:noProof/>
              </w:rPr>
              <w:t>10</w:t>
            </w:r>
            <w:r w:rsidRPr="002B61DF">
              <w:rPr>
                <w:rFonts w:eastAsiaTheme="minorEastAsia" w:cs="Arial"/>
                <w:noProof/>
                <w:kern w:val="2"/>
                <w:szCs w:val="24"/>
                <w14:ligatures w14:val="standardContextual"/>
              </w:rPr>
              <w:tab/>
            </w:r>
            <w:r w:rsidRPr="002B61DF">
              <w:rPr>
                <w:rStyle w:val="Hyperlink"/>
                <w:rFonts w:cs="Arial"/>
                <w:noProof/>
              </w:rPr>
              <w:t>Appendix A: Monthly adjusted price and return data</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_Toc229524588 \h </w:instrText>
            </w:r>
            <w:r w:rsidRPr="002B61DF">
              <w:rPr>
                <w:rFonts w:cs="Arial"/>
                <w:noProof/>
                <w:webHidden/>
              </w:rPr>
            </w:r>
            <w:r w:rsidRPr="002B61DF">
              <w:rPr>
                <w:rFonts w:cs="Arial"/>
                <w:noProof/>
                <w:webHidden/>
              </w:rPr>
              <w:fldChar w:fldCharType="separate"/>
            </w:r>
            <w:r>
              <w:rPr>
                <w:rFonts w:cs="Arial"/>
                <w:noProof/>
                <w:webHidden/>
              </w:rPr>
              <w:t>15</w:t>
            </w:r>
            <w:r w:rsidRPr="002B61DF">
              <w:rPr>
                <w:rFonts w:cs="Arial"/>
                <w:noProof/>
                <w:webHidden/>
              </w:rPr>
              <w:fldChar w:fldCharType="end"/>
            </w:r>
          </w:hyperlink>
        </w:p>
        <w:p w14:paraId="3C379979" w14:textId="2BCDF5C0" w:rsidR="007B2E45" w:rsidRPr="002B61DF" w:rsidRDefault="007B2E45" w:rsidP="002B61DF">
          <w:pPr>
            <w:spacing w:line="360" w:lineRule="auto"/>
            <w:rPr>
              <w:rFonts w:cs="Arial"/>
            </w:rPr>
          </w:pPr>
          <w:r w:rsidRPr="002B61DF">
            <w:rPr>
              <w:rFonts w:cs="Arial"/>
              <w:b/>
              <w:bCs/>
              <w:noProof/>
            </w:rPr>
            <w:fldChar w:fldCharType="end"/>
          </w:r>
        </w:p>
      </w:sdtContent>
    </w:sdt>
    <w:p w14:paraId="398BA947" w14:textId="77777777" w:rsidR="007B2E45" w:rsidRPr="002B61DF" w:rsidRDefault="007B2E45" w:rsidP="002B61DF">
      <w:pPr>
        <w:spacing w:line="360" w:lineRule="auto"/>
        <w:rPr>
          <w:rFonts w:cs="Arial"/>
        </w:rPr>
      </w:pPr>
    </w:p>
    <w:p w14:paraId="082E3F45" w14:textId="36F20336" w:rsidR="002B61DF" w:rsidRPr="002B61DF" w:rsidRDefault="00000000" w:rsidP="002B61DF">
      <w:pPr>
        <w:spacing w:line="360" w:lineRule="auto"/>
        <w:rPr>
          <w:rFonts w:cs="Arial"/>
        </w:rPr>
      </w:pPr>
      <w:r w:rsidRPr="002B61DF">
        <w:rPr>
          <w:rFonts w:cs="Arial"/>
        </w:rPr>
        <w:br w:type="page"/>
      </w:r>
    </w:p>
    <w:p w14:paraId="1AD52104" w14:textId="55DF976D" w:rsidR="002B61DF" w:rsidRPr="002B61DF" w:rsidRDefault="002B61DF" w:rsidP="002B61DF">
      <w:pPr>
        <w:spacing w:line="360" w:lineRule="auto"/>
        <w:rPr>
          <w:rFonts w:cs="Arial"/>
          <w:b/>
          <w:bCs/>
        </w:rPr>
      </w:pPr>
      <w:r w:rsidRPr="002B61DF">
        <w:rPr>
          <w:rFonts w:cs="Arial"/>
          <w:b/>
          <w:bCs/>
        </w:rPr>
        <w:lastRenderedPageBreak/>
        <w:t>List of Figure</w:t>
      </w:r>
    </w:p>
    <w:p w14:paraId="78EF3190" w14:textId="75E2CD8D"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r w:rsidRPr="002B61DF">
        <w:rPr>
          <w:rFonts w:cs="Arial"/>
          <w:b/>
          <w:bCs/>
        </w:rPr>
        <w:fldChar w:fldCharType="begin"/>
      </w:r>
      <w:r w:rsidRPr="002B61DF">
        <w:rPr>
          <w:rFonts w:cs="Arial"/>
          <w:b/>
          <w:bCs/>
        </w:rPr>
        <w:instrText xml:space="preserve"> TOC \h \z \c "Figure" </w:instrText>
      </w:r>
      <w:r w:rsidRPr="002B61DF">
        <w:rPr>
          <w:rFonts w:cs="Arial"/>
          <w:b/>
          <w:bCs/>
        </w:rPr>
        <w:fldChar w:fldCharType="separate"/>
      </w:r>
      <w:hyperlink w:anchor="_Toc229524478" w:history="1">
        <w:r w:rsidRPr="002B61DF">
          <w:rPr>
            <w:rStyle w:val="Hyperlink"/>
            <w:rFonts w:cs="Arial"/>
            <w:noProof/>
          </w:rPr>
          <w:t xml:space="preserve">Figure 1 </w:t>
        </w:r>
        <w:r w:rsidRPr="002B61DF">
          <w:rPr>
            <w:rStyle w:val="Hyperlink"/>
            <w:rFonts w:cs="Arial"/>
            <w:iCs/>
            <w:noProof/>
          </w:rPr>
          <w:t>. Indexed adjusted-price performance, December 2023 = 100.</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_Toc229524478 \h </w:instrText>
        </w:r>
        <w:r w:rsidRPr="002B61DF">
          <w:rPr>
            <w:rFonts w:cs="Arial"/>
            <w:noProof/>
            <w:webHidden/>
          </w:rPr>
        </w:r>
        <w:r w:rsidRPr="002B61DF">
          <w:rPr>
            <w:rFonts w:cs="Arial"/>
            <w:noProof/>
            <w:webHidden/>
          </w:rPr>
          <w:fldChar w:fldCharType="separate"/>
        </w:r>
        <w:r>
          <w:rPr>
            <w:rFonts w:cs="Arial"/>
            <w:noProof/>
            <w:webHidden/>
          </w:rPr>
          <w:t>5</w:t>
        </w:r>
        <w:r w:rsidRPr="002B61DF">
          <w:rPr>
            <w:rFonts w:cs="Arial"/>
            <w:noProof/>
            <w:webHidden/>
          </w:rPr>
          <w:fldChar w:fldCharType="end"/>
        </w:r>
      </w:hyperlink>
    </w:p>
    <w:p w14:paraId="0B4D6AA9" w14:textId="7B8FF0DC"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hyperlink w:anchor="_Toc229524479" w:history="1">
        <w:r w:rsidRPr="002B61DF">
          <w:rPr>
            <w:rStyle w:val="Hyperlink"/>
            <w:rFonts w:cs="Arial"/>
            <w:noProof/>
          </w:rPr>
          <w:t>Figure 2 . Risk-return trade-off and selected maximum-utility portfolio</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_Toc229524479 \h </w:instrText>
        </w:r>
        <w:r w:rsidRPr="002B61DF">
          <w:rPr>
            <w:rFonts w:cs="Arial"/>
            <w:noProof/>
            <w:webHidden/>
          </w:rPr>
        </w:r>
        <w:r w:rsidRPr="002B61DF">
          <w:rPr>
            <w:rFonts w:cs="Arial"/>
            <w:noProof/>
            <w:webHidden/>
          </w:rPr>
          <w:fldChar w:fldCharType="separate"/>
        </w:r>
        <w:r>
          <w:rPr>
            <w:rFonts w:cs="Arial"/>
            <w:noProof/>
            <w:webHidden/>
          </w:rPr>
          <w:t>8</w:t>
        </w:r>
        <w:r w:rsidRPr="002B61DF">
          <w:rPr>
            <w:rFonts w:cs="Arial"/>
            <w:noProof/>
            <w:webHidden/>
          </w:rPr>
          <w:fldChar w:fldCharType="end"/>
        </w:r>
      </w:hyperlink>
    </w:p>
    <w:p w14:paraId="724FB5A2" w14:textId="340186EC" w:rsidR="002B61DF" w:rsidRPr="002B61DF" w:rsidRDefault="002B61DF" w:rsidP="002B61DF">
      <w:pPr>
        <w:spacing w:line="360" w:lineRule="auto"/>
        <w:rPr>
          <w:rFonts w:cs="Arial"/>
          <w:b/>
          <w:bCs/>
        </w:rPr>
      </w:pPr>
      <w:r w:rsidRPr="002B61DF">
        <w:rPr>
          <w:rFonts w:cs="Arial"/>
          <w:b/>
          <w:bCs/>
        </w:rPr>
        <w:fldChar w:fldCharType="end"/>
      </w:r>
    </w:p>
    <w:p w14:paraId="618752F8" w14:textId="77777777" w:rsidR="002B61DF" w:rsidRPr="002B61DF" w:rsidRDefault="002B61DF" w:rsidP="002B61DF">
      <w:pPr>
        <w:spacing w:line="360" w:lineRule="auto"/>
        <w:rPr>
          <w:rFonts w:cs="Arial"/>
          <w:b/>
          <w:bCs/>
        </w:rPr>
      </w:pPr>
    </w:p>
    <w:p w14:paraId="733668CC" w14:textId="1DFA3858" w:rsidR="002B61DF" w:rsidRPr="002B61DF" w:rsidRDefault="002B61DF" w:rsidP="002B61DF">
      <w:pPr>
        <w:spacing w:line="360" w:lineRule="auto"/>
        <w:rPr>
          <w:rFonts w:cs="Arial"/>
          <w:b/>
          <w:bCs/>
        </w:rPr>
      </w:pPr>
      <w:r w:rsidRPr="002B61DF">
        <w:rPr>
          <w:rFonts w:cs="Arial"/>
          <w:b/>
          <w:bCs/>
        </w:rPr>
        <w:t>List of Tables</w:t>
      </w:r>
    </w:p>
    <w:p w14:paraId="045D4922" w14:textId="25D0C510"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r w:rsidRPr="002B61DF">
        <w:rPr>
          <w:rFonts w:cs="Arial"/>
          <w:b/>
          <w:bCs/>
        </w:rPr>
        <w:fldChar w:fldCharType="begin"/>
      </w:r>
      <w:r w:rsidRPr="002B61DF">
        <w:rPr>
          <w:rFonts w:cs="Arial"/>
          <w:b/>
          <w:bCs/>
        </w:rPr>
        <w:instrText xml:space="preserve"> TOC \h \z \c "Table" </w:instrText>
      </w:r>
      <w:r w:rsidRPr="002B61DF">
        <w:rPr>
          <w:rFonts w:cs="Arial"/>
          <w:b/>
          <w:bCs/>
        </w:rPr>
        <w:fldChar w:fldCharType="separate"/>
      </w:r>
      <w:hyperlink w:anchor="_Toc229524450" w:history="1">
        <w:r w:rsidRPr="002B61DF">
          <w:rPr>
            <w:rStyle w:val="Hyperlink"/>
            <w:rFonts w:cs="Arial"/>
            <w:noProof/>
          </w:rPr>
          <w:t>Table 1 Return and risk inputs</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_Toc229524450 \h </w:instrText>
        </w:r>
        <w:r w:rsidRPr="002B61DF">
          <w:rPr>
            <w:rFonts w:cs="Arial"/>
            <w:noProof/>
            <w:webHidden/>
          </w:rPr>
        </w:r>
        <w:r w:rsidRPr="002B61DF">
          <w:rPr>
            <w:rFonts w:cs="Arial"/>
            <w:noProof/>
            <w:webHidden/>
          </w:rPr>
          <w:fldChar w:fldCharType="separate"/>
        </w:r>
        <w:r>
          <w:rPr>
            <w:rFonts w:cs="Arial"/>
            <w:noProof/>
            <w:webHidden/>
          </w:rPr>
          <w:t>5</w:t>
        </w:r>
        <w:r w:rsidRPr="002B61DF">
          <w:rPr>
            <w:rFonts w:cs="Arial"/>
            <w:noProof/>
            <w:webHidden/>
          </w:rPr>
          <w:fldChar w:fldCharType="end"/>
        </w:r>
      </w:hyperlink>
    </w:p>
    <w:p w14:paraId="09CB46F1" w14:textId="7AD0C89D"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hyperlink w:anchor="_Toc229524451" w:history="1">
        <w:r w:rsidRPr="002B61DF">
          <w:rPr>
            <w:rStyle w:val="Hyperlink"/>
            <w:rFonts w:cs="Arial"/>
            <w:noProof/>
          </w:rPr>
          <w:t>Table 2 Formal expected return derivation</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_Toc229524451 \h </w:instrText>
        </w:r>
        <w:r w:rsidRPr="002B61DF">
          <w:rPr>
            <w:rFonts w:cs="Arial"/>
            <w:noProof/>
            <w:webHidden/>
          </w:rPr>
        </w:r>
        <w:r w:rsidRPr="002B61DF">
          <w:rPr>
            <w:rFonts w:cs="Arial"/>
            <w:noProof/>
            <w:webHidden/>
          </w:rPr>
          <w:fldChar w:fldCharType="separate"/>
        </w:r>
        <w:r>
          <w:rPr>
            <w:rFonts w:cs="Arial"/>
            <w:noProof/>
            <w:webHidden/>
          </w:rPr>
          <w:t>7</w:t>
        </w:r>
        <w:r w:rsidRPr="002B61DF">
          <w:rPr>
            <w:rFonts w:cs="Arial"/>
            <w:noProof/>
            <w:webHidden/>
          </w:rPr>
          <w:fldChar w:fldCharType="end"/>
        </w:r>
      </w:hyperlink>
    </w:p>
    <w:p w14:paraId="566D37C2" w14:textId="29651217"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hyperlink w:anchor="_Toc229524452" w:history="1">
        <w:r w:rsidRPr="002B61DF">
          <w:rPr>
            <w:rStyle w:val="Hyperlink"/>
            <w:rFonts w:cs="Arial"/>
            <w:noProof/>
          </w:rPr>
          <w:t>Table 3 Portfolio alternatives and utility calculations</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_Toc229524452 \h </w:instrText>
        </w:r>
        <w:r w:rsidRPr="002B61DF">
          <w:rPr>
            <w:rFonts w:cs="Arial"/>
            <w:noProof/>
            <w:webHidden/>
          </w:rPr>
        </w:r>
        <w:r w:rsidRPr="002B61DF">
          <w:rPr>
            <w:rFonts w:cs="Arial"/>
            <w:noProof/>
            <w:webHidden/>
          </w:rPr>
          <w:fldChar w:fldCharType="separate"/>
        </w:r>
        <w:r>
          <w:rPr>
            <w:rFonts w:cs="Arial"/>
            <w:noProof/>
            <w:webHidden/>
          </w:rPr>
          <w:t>7</w:t>
        </w:r>
        <w:r w:rsidRPr="002B61DF">
          <w:rPr>
            <w:rFonts w:cs="Arial"/>
            <w:noProof/>
            <w:webHidden/>
          </w:rPr>
          <w:fldChar w:fldCharType="end"/>
        </w:r>
      </w:hyperlink>
    </w:p>
    <w:p w14:paraId="3700EDC3" w14:textId="63A5DF1B"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hyperlink w:anchor="_Toc229524453" w:history="1">
        <w:r w:rsidRPr="002B61DF">
          <w:rPr>
            <w:rStyle w:val="Hyperlink"/>
            <w:rFonts w:cs="Arial"/>
            <w:noProof/>
          </w:rPr>
          <w:t>Table 4 Implementation of A$150,000 portfolio using end-2025 market prices</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_Toc229524453 \h </w:instrText>
        </w:r>
        <w:r w:rsidRPr="002B61DF">
          <w:rPr>
            <w:rFonts w:cs="Arial"/>
            <w:noProof/>
            <w:webHidden/>
          </w:rPr>
        </w:r>
        <w:r w:rsidRPr="002B61DF">
          <w:rPr>
            <w:rFonts w:cs="Arial"/>
            <w:noProof/>
            <w:webHidden/>
          </w:rPr>
          <w:fldChar w:fldCharType="separate"/>
        </w:r>
        <w:r>
          <w:rPr>
            <w:rFonts w:cs="Arial"/>
            <w:noProof/>
            <w:webHidden/>
          </w:rPr>
          <w:t>9</w:t>
        </w:r>
        <w:r w:rsidRPr="002B61DF">
          <w:rPr>
            <w:rFonts w:cs="Arial"/>
            <w:noProof/>
            <w:webHidden/>
          </w:rPr>
          <w:fldChar w:fldCharType="end"/>
        </w:r>
      </w:hyperlink>
    </w:p>
    <w:p w14:paraId="39AE14FA" w14:textId="0B6A1D54" w:rsidR="002B61DF" w:rsidRPr="002B61DF" w:rsidRDefault="002B61DF" w:rsidP="002B61DF">
      <w:pPr>
        <w:pStyle w:val="TableofFigures"/>
        <w:tabs>
          <w:tab w:val="right" w:leader="dot" w:pos="9396"/>
        </w:tabs>
        <w:spacing w:line="360" w:lineRule="auto"/>
        <w:rPr>
          <w:rFonts w:eastAsiaTheme="minorEastAsia" w:cs="Arial"/>
          <w:noProof/>
          <w:kern w:val="2"/>
          <w:szCs w:val="24"/>
          <w14:ligatures w14:val="standardContextual"/>
        </w:rPr>
      </w:pPr>
      <w:hyperlink w:anchor="_Toc229524454" w:history="1">
        <w:r w:rsidRPr="002B61DF">
          <w:rPr>
            <w:rStyle w:val="Hyperlink"/>
            <w:rFonts w:cs="Arial"/>
            <w:noProof/>
          </w:rPr>
          <w:t>Table 5 Sensitivity of optimal weights to expected-return changes</w:t>
        </w:r>
        <w:r w:rsidRPr="002B61DF">
          <w:rPr>
            <w:rFonts w:cs="Arial"/>
            <w:noProof/>
            <w:webHidden/>
          </w:rPr>
          <w:tab/>
        </w:r>
        <w:r w:rsidRPr="002B61DF">
          <w:rPr>
            <w:rFonts w:cs="Arial"/>
            <w:noProof/>
            <w:webHidden/>
          </w:rPr>
          <w:fldChar w:fldCharType="begin"/>
        </w:r>
        <w:r w:rsidRPr="002B61DF">
          <w:rPr>
            <w:rFonts w:cs="Arial"/>
            <w:noProof/>
            <w:webHidden/>
          </w:rPr>
          <w:instrText xml:space="preserve"> PAGEREF _Toc229524454 \h </w:instrText>
        </w:r>
        <w:r w:rsidRPr="002B61DF">
          <w:rPr>
            <w:rFonts w:cs="Arial"/>
            <w:noProof/>
            <w:webHidden/>
          </w:rPr>
        </w:r>
        <w:r w:rsidRPr="002B61DF">
          <w:rPr>
            <w:rFonts w:cs="Arial"/>
            <w:noProof/>
            <w:webHidden/>
          </w:rPr>
          <w:fldChar w:fldCharType="separate"/>
        </w:r>
        <w:r>
          <w:rPr>
            <w:rFonts w:cs="Arial"/>
            <w:noProof/>
            <w:webHidden/>
          </w:rPr>
          <w:t>9</w:t>
        </w:r>
        <w:r w:rsidRPr="002B61DF">
          <w:rPr>
            <w:rFonts w:cs="Arial"/>
            <w:noProof/>
            <w:webHidden/>
          </w:rPr>
          <w:fldChar w:fldCharType="end"/>
        </w:r>
      </w:hyperlink>
    </w:p>
    <w:p w14:paraId="5BF088F3" w14:textId="66678B11" w:rsidR="002B61DF" w:rsidRPr="002B61DF" w:rsidRDefault="002B61DF" w:rsidP="002B61DF">
      <w:pPr>
        <w:spacing w:line="360" w:lineRule="auto"/>
        <w:rPr>
          <w:rFonts w:cs="Arial"/>
          <w:b/>
          <w:bCs/>
        </w:rPr>
      </w:pPr>
      <w:r w:rsidRPr="002B61DF">
        <w:rPr>
          <w:rFonts w:cs="Arial"/>
          <w:b/>
          <w:bCs/>
        </w:rPr>
        <w:fldChar w:fldCharType="end"/>
      </w:r>
    </w:p>
    <w:p w14:paraId="14B90278" w14:textId="77777777" w:rsidR="002B61DF" w:rsidRPr="002B61DF" w:rsidRDefault="002B61DF" w:rsidP="002B61DF">
      <w:pPr>
        <w:spacing w:line="360" w:lineRule="auto"/>
        <w:rPr>
          <w:rFonts w:cs="Arial"/>
          <w:b/>
          <w:bCs/>
        </w:rPr>
      </w:pPr>
    </w:p>
    <w:p w14:paraId="5B7E99A2" w14:textId="77777777" w:rsidR="002B61DF" w:rsidRPr="002B61DF" w:rsidRDefault="002B61DF" w:rsidP="002B61DF">
      <w:pPr>
        <w:spacing w:line="360" w:lineRule="auto"/>
        <w:rPr>
          <w:rFonts w:cs="Arial"/>
          <w:b/>
          <w:bCs/>
        </w:rPr>
      </w:pPr>
    </w:p>
    <w:p w14:paraId="7C0FE216" w14:textId="77777777" w:rsidR="002B61DF" w:rsidRPr="002B61DF" w:rsidRDefault="002B61DF" w:rsidP="002B61DF">
      <w:pPr>
        <w:spacing w:line="360" w:lineRule="auto"/>
        <w:rPr>
          <w:rFonts w:cs="Arial"/>
          <w:b/>
          <w:bCs/>
        </w:rPr>
      </w:pPr>
    </w:p>
    <w:p w14:paraId="71AA621D" w14:textId="77777777" w:rsidR="002B61DF" w:rsidRPr="002B61DF" w:rsidRDefault="002B61DF" w:rsidP="002B61DF">
      <w:pPr>
        <w:spacing w:line="360" w:lineRule="auto"/>
        <w:rPr>
          <w:rFonts w:cs="Arial"/>
          <w:b/>
          <w:bCs/>
        </w:rPr>
      </w:pPr>
    </w:p>
    <w:p w14:paraId="056CE559" w14:textId="77777777" w:rsidR="002B61DF" w:rsidRPr="002B61DF" w:rsidRDefault="002B61DF" w:rsidP="002B61DF">
      <w:pPr>
        <w:spacing w:line="360" w:lineRule="auto"/>
        <w:rPr>
          <w:rFonts w:cs="Arial"/>
          <w:b/>
          <w:bCs/>
        </w:rPr>
      </w:pPr>
    </w:p>
    <w:p w14:paraId="35328E4C" w14:textId="77777777" w:rsidR="002B61DF" w:rsidRPr="002B61DF" w:rsidRDefault="002B61DF" w:rsidP="002B61DF">
      <w:pPr>
        <w:spacing w:line="360" w:lineRule="auto"/>
        <w:rPr>
          <w:rFonts w:cs="Arial"/>
          <w:b/>
          <w:bCs/>
        </w:rPr>
      </w:pPr>
    </w:p>
    <w:p w14:paraId="1D3D8412" w14:textId="77777777" w:rsidR="002B61DF" w:rsidRPr="002B61DF" w:rsidRDefault="002B61DF" w:rsidP="002B61DF">
      <w:pPr>
        <w:spacing w:line="360" w:lineRule="auto"/>
        <w:rPr>
          <w:rFonts w:cs="Arial"/>
          <w:b/>
          <w:bCs/>
        </w:rPr>
      </w:pPr>
    </w:p>
    <w:p w14:paraId="6E6E0A8D" w14:textId="77777777" w:rsidR="002B61DF" w:rsidRPr="002B61DF" w:rsidRDefault="002B61DF" w:rsidP="002B61DF">
      <w:pPr>
        <w:spacing w:line="360" w:lineRule="auto"/>
        <w:rPr>
          <w:rFonts w:cs="Arial"/>
          <w:b/>
          <w:bCs/>
        </w:rPr>
      </w:pPr>
    </w:p>
    <w:p w14:paraId="29248381" w14:textId="77777777" w:rsidR="002B61DF" w:rsidRPr="002B61DF" w:rsidRDefault="002B61DF" w:rsidP="002B61DF">
      <w:pPr>
        <w:spacing w:line="360" w:lineRule="auto"/>
        <w:rPr>
          <w:rFonts w:cs="Arial"/>
          <w:b/>
          <w:bCs/>
        </w:rPr>
        <w:sectPr w:rsidR="002B61DF" w:rsidRPr="002B61DF" w:rsidSect="002B61DF">
          <w:footerReference w:type="default" r:id="rId9"/>
          <w:pgSz w:w="12240" w:h="15840"/>
          <w:pgMar w:top="1417" w:right="1417" w:bottom="1417" w:left="1417" w:header="720" w:footer="720" w:gutter="0"/>
          <w:pgNumType w:fmt="lowerRoman" w:start="1"/>
          <w:cols w:space="720"/>
          <w:docGrid w:linePitch="360"/>
        </w:sectPr>
      </w:pPr>
    </w:p>
    <w:p w14:paraId="45BB2C0A" w14:textId="77777777" w:rsidR="002B61DF" w:rsidRPr="002B61DF" w:rsidRDefault="002B61DF" w:rsidP="002B61DF">
      <w:pPr>
        <w:spacing w:line="360" w:lineRule="auto"/>
        <w:rPr>
          <w:rFonts w:cs="Arial"/>
          <w:b/>
          <w:bCs/>
        </w:rPr>
      </w:pPr>
    </w:p>
    <w:p w14:paraId="5F971671" w14:textId="77777777" w:rsidR="00475888" w:rsidRPr="002B61DF" w:rsidRDefault="00000000" w:rsidP="002B61DF">
      <w:pPr>
        <w:pStyle w:val="Heading1"/>
      </w:pPr>
      <w:bookmarkStart w:id="1" w:name="_Toc229524579"/>
      <w:r w:rsidRPr="002B61DF">
        <w:t>Introduction</w:t>
      </w:r>
      <w:bookmarkEnd w:id="1"/>
    </w:p>
    <w:p w14:paraId="5ADB894F" w14:textId="77777777" w:rsidR="000545CB" w:rsidRPr="002B61DF" w:rsidRDefault="000545CB" w:rsidP="002B61DF">
      <w:pPr>
        <w:spacing w:after="160" w:line="360" w:lineRule="auto"/>
        <w:jc w:val="both"/>
        <w:rPr>
          <w:rFonts w:cs="Arial"/>
        </w:rPr>
      </w:pPr>
      <w:r w:rsidRPr="002B61DF">
        <w:rPr>
          <w:rFonts w:cs="Arial"/>
        </w:rPr>
        <w:t xml:space="preserve">This essay is a </w:t>
      </w:r>
      <w:proofErr w:type="gramStart"/>
      <w:r w:rsidRPr="002B61DF">
        <w:rPr>
          <w:rFonts w:cs="Arial"/>
        </w:rPr>
        <w:t>top down</w:t>
      </w:r>
      <w:proofErr w:type="gramEnd"/>
      <w:r w:rsidRPr="002B61DF">
        <w:rPr>
          <w:rFonts w:cs="Arial"/>
        </w:rPr>
        <w:t xml:space="preserve"> fundamental analysis of an Australian equity investor who is allocating $A150000 amongst two shares listed on the Australian Stock Exchange (ASX): ANZ Group Holdings Limited (</w:t>
      </w:r>
      <w:proofErr w:type="gramStart"/>
      <w:r w:rsidRPr="002B61DF">
        <w:rPr>
          <w:rFonts w:cs="Arial"/>
        </w:rPr>
        <w:t>ASX:ANZ</w:t>
      </w:r>
      <w:proofErr w:type="gramEnd"/>
      <w:r w:rsidRPr="002B61DF">
        <w:rPr>
          <w:rFonts w:cs="Arial"/>
        </w:rPr>
        <w:t>) and CSL Limited (</w:t>
      </w:r>
      <w:proofErr w:type="gramStart"/>
      <w:r w:rsidRPr="002B61DF">
        <w:rPr>
          <w:rFonts w:cs="Arial"/>
        </w:rPr>
        <w:t>ASX:CSL</w:t>
      </w:r>
      <w:proofErr w:type="gramEnd"/>
      <w:r w:rsidRPr="002B61DF">
        <w:rPr>
          <w:rFonts w:cs="Arial"/>
        </w:rPr>
        <w:t>). The analysis begins at the macroeconomic level of the world economy and then continues with an analysis of the Australian economy, sector rotation and security selection before forming a two-share portfolio based on the expected return, volatility, correlation, reward-risk, and utility calculations. The investment date is assumed to be the end of 2025 and beginning of 2026, when the Reserve Bank of Australia lowered the cash rate to 3.60 per cent, but still had an inflation pressure problem (with inflation higher than the target level) (RBA, 2025a; ABS, 2026).</w:t>
      </w:r>
    </w:p>
    <w:p w14:paraId="218868DF" w14:textId="332F8E31" w:rsidR="000545CB" w:rsidRPr="002B61DF" w:rsidRDefault="000545CB" w:rsidP="002B61DF">
      <w:pPr>
        <w:spacing w:after="160" w:line="360" w:lineRule="auto"/>
        <w:jc w:val="both"/>
        <w:rPr>
          <w:rFonts w:cs="Arial"/>
        </w:rPr>
      </w:pPr>
      <w:r w:rsidRPr="002B61DF">
        <w:rPr>
          <w:rFonts w:cs="Arial"/>
        </w:rPr>
        <w:t xml:space="preserve">The investor profile is not a speculative one but is a moderately risk averse one. This is captured with a coefficient of risk aversion A = 4 in a utility function U = E(Rp) - 0.5Aσp², where E(Rp) represents expected return of the portfolio, and σp² represents the variance of the portfolio. ANZ selected on upside due to restructuring and </w:t>
      </w:r>
      <w:proofErr w:type="spellStart"/>
      <w:r w:rsidRPr="002B61DF">
        <w:rPr>
          <w:rFonts w:cs="Arial"/>
        </w:rPr>
        <w:t>income.ANZ</w:t>
      </w:r>
      <w:proofErr w:type="spellEnd"/>
      <w:r w:rsidRPr="002B61DF">
        <w:rPr>
          <w:rFonts w:cs="Arial"/>
        </w:rPr>
        <w:t xml:space="preserve"> is selected for upsides from restructuring and income in domestic banking. CSL is selected based on the diversification and recovery value in global healthcare, however, is limited due to recent downgrades, restructuring and impairment risk. This recommended portfolio is split 62 per cent for ANZ and 38 per cent for CSL with an expected return of 11.07 per cent, an </w:t>
      </w:r>
      <w:proofErr w:type="spellStart"/>
      <w:r w:rsidRPr="002B61DF">
        <w:rPr>
          <w:rFonts w:cs="Arial"/>
        </w:rPr>
        <w:t>annualised</w:t>
      </w:r>
      <w:proofErr w:type="spellEnd"/>
      <w:r w:rsidRPr="002B61DF">
        <w:rPr>
          <w:rFonts w:cs="Arial"/>
        </w:rPr>
        <w:t xml:space="preserve"> risk of 11.40 per cent and a reward-risk ratio of 0.66 on a cash rate of 3.60 per cent as the risk-free rate.</w:t>
      </w:r>
    </w:p>
    <w:p w14:paraId="4D6E10DC" w14:textId="77777777" w:rsidR="00475888" w:rsidRPr="002B61DF" w:rsidRDefault="00000000" w:rsidP="002B61DF">
      <w:pPr>
        <w:pStyle w:val="Heading1"/>
      </w:pPr>
      <w:bookmarkStart w:id="2" w:name="_Toc229524580"/>
      <w:r w:rsidRPr="002B61DF">
        <w:t>Top-down analysis of the investment environment</w:t>
      </w:r>
      <w:bookmarkEnd w:id="2"/>
    </w:p>
    <w:p w14:paraId="03B1D03E" w14:textId="77777777" w:rsidR="00F96910" w:rsidRPr="002B61DF" w:rsidRDefault="00F96910" w:rsidP="002B61DF">
      <w:pPr>
        <w:spacing w:after="160" w:line="360" w:lineRule="auto"/>
        <w:jc w:val="both"/>
        <w:rPr>
          <w:rFonts w:cs="Arial"/>
        </w:rPr>
      </w:pPr>
      <w:r w:rsidRPr="002B61DF">
        <w:rPr>
          <w:rFonts w:cs="Arial"/>
        </w:rPr>
        <w:t xml:space="preserve">The </w:t>
      </w:r>
      <w:proofErr w:type="gramStart"/>
      <w:r w:rsidRPr="002B61DF">
        <w:rPr>
          <w:rFonts w:cs="Arial"/>
        </w:rPr>
        <w:t>top down</w:t>
      </w:r>
      <w:proofErr w:type="gramEnd"/>
      <w:r w:rsidRPr="002B61DF">
        <w:rPr>
          <w:rFonts w:cs="Arial"/>
        </w:rPr>
        <w:t xml:space="preserve"> approach starts with macroeconomic conditions as the discount rate, company earnings growth and risk appetite all influence equity valuations prior to deciding which companies to select (Bodie, Kane and Marcus, 2024). The conditions the world will face in 2026 won't be a crisis scenario like 2020, but it's not as easy as the high-liquidity days since the pandemic. Global growth is expected to reach 3.2 per cent </w:t>
      </w:r>
      <w:r w:rsidRPr="002B61DF">
        <w:rPr>
          <w:rFonts w:cs="Arial"/>
        </w:rPr>
        <w:lastRenderedPageBreak/>
        <w:t>in 2025 and 3.1 per cent in 2026, while unsettling issues such as trade fragmentation, policy uncertainty, fiscal weakness, and financial-market repricing could pose downside risks for global growth (IMF, 2025). This is the time period when equity returns may be positive but the expansion of the valuation may be selective as opposed to general.</w:t>
      </w:r>
    </w:p>
    <w:p w14:paraId="578E9651" w14:textId="77777777" w:rsidR="00F96910" w:rsidRPr="002B61DF" w:rsidRDefault="00F96910" w:rsidP="002B61DF">
      <w:pPr>
        <w:spacing w:after="160" w:line="360" w:lineRule="auto"/>
        <w:jc w:val="both"/>
        <w:rPr>
          <w:rFonts w:cs="Arial"/>
        </w:rPr>
      </w:pPr>
      <w:r w:rsidRPr="002B61DF">
        <w:rPr>
          <w:rFonts w:cs="Arial"/>
        </w:rPr>
        <w:t>The macro variables that are most important for this portfolio are inflation and interest rates. If inflation remains above the target, then central banks remain conservative in their measures to lower it as it is likely to bring back upward inflationary pressure. An increase in real rates leads to higher discount rates, lower price/earnings multiples and higher required equity risk premium. According to Damodaran (2025), the higher the uncertainty, the higher the macro risk and the higher the risk aversion of the investors, the higher will be the equity risk premium. In terms of companies, a higher equity risk premium is more appealing to companies with consistently solid cash flows, well-defined dividends and pricing power, but less desirable for companies with high leverage and/or long durations of growth, whose value is built on cash flows that are far into the future.</w:t>
      </w:r>
    </w:p>
    <w:p w14:paraId="14297952" w14:textId="77777777" w:rsidR="00F96910" w:rsidRPr="002B61DF" w:rsidRDefault="00F96910" w:rsidP="002B61DF">
      <w:pPr>
        <w:spacing w:after="160" w:line="360" w:lineRule="auto"/>
        <w:jc w:val="both"/>
        <w:rPr>
          <w:rFonts w:cs="Arial"/>
        </w:rPr>
      </w:pPr>
      <w:r w:rsidRPr="002B61DF">
        <w:rPr>
          <w:rFonts w:cs="Arial"/>
        </w:rPr>
        <w:t>This world-wide tension is reflected in Australia. The RBA's November 2025 statement suggested that the monetary policy stance was continuing to be restrictive, due to the lack of full return to the target inflation band (RBA, 2025a). The annual CPI inflation rate is 3.8 per cent and the trimmed mean inflation rate is 3.3 per cent in December 2025, up from the RBA's 2-3 per cent target band (ABS, 2026). This leaves the economy in a late cycle environment, characterized by low rates which help households and asset prices, but slow to become expansionary, while sticky services and housing inflation holds the economy back. For ANZ, it is a double-edged sword as rates help margins, but cost-of-living stressed families make credit-risk sensitive. CSL's domestic rates have less direct impact, while discount rates worldwide and the demand for healthcare in the United States have an impact on its valuation.</w:t>
      </w:r>
    </w:p>
    <w:p w14:paraId="161FF4BE" w14:textId="77777777" w:rsidR="00F96910" w:rsidRPr="002B61DF" w:rsidRDefault="00F96910" w:rsidP="002B61DF">
      <w:pPr>
        <w:spacing w:after="160" w:line="360" w:lineRule="auto"/>
        <w:jc w:val="both"/>
        <w:rPr>
          <w:rFonts w:cs="Arial"/>
        </w:rPr>
      </w:pPr>
      <w:r w:rsidRPr="002B61DF">
        <w:rPr>
          <w:rFonts w:cs="Arial"/>
        </w:rPr>
        <w:t xml:space="preserve">Another diversified two-stock strategy is through sector rotation. When inflation is sticky, investors tend to shift to value and the companies that generate income and </w:t>
      </w:r>
      <w:proofErr w:type="gramStart"/>
      <w:r w:rsidRPr="002B61DF">
        <w:rPr>
          <w:rFonts w:cs="Arial"/>
        </w:rPr>
        <w:t>near term</w:t>
      </w:r>
      <w:proofErr w:type="gramEnd"/>
      <w:r w:rsidRPr="002B61DF">
        <w:rPr>
          <w:rFonts w:cs="Arial"/>
        </w:rPr>
        <w:t xml:space="preserve"> cash flow which helps ANZ banks. When growth </w:t>
      </w:r>
      <w:proofErr w:type="spellStart"/>
      <w:r w:rsidRPr="002B61DF">
        <w:rPr>
          <w:rFonts w:cs="Arial"/>
        </w:rPr>
        <w:t>growth</w:t>
      </w:r>
      <w:proofErr w:type="spellEnd"/>
      <w:r w:rsidRPr="002B61DF">
        <w:rPr>
          <w:rFonts w:cs="Arial"/>
        </w:rPr>
        <w:t xml:space="preserve"> is in sharp decline, however, the sectors with a defensive bias like healthcare tend to come back into </w:t>
      </w:r>
      <w:proofErr w:type="spellStart"/>
      <w:r w:rsidRPr="002B61DF">
        <w:rPr>
          <w:rFonts w:cs="Arial"/>
        </w:rPr>
        <w:t>favour</w:t>
      </w:r>
      <w:proofErr w:type="spellEnd"/>
      <w:r w:rsidRPr="002B61DF">
        <w:rPr>
          <w:rFonts w:cs="Arial"/>
        </w:rPr>
        <w:t xml:space="preserve"> as demand for plasma products and medicines is less cyclical. The best portfolio should thus be a </w:t>
      </w:r>
      <w:r w:rsidRPr="002B61DF">
        <w:rPr>
          <w:rFonts w:cs="Arial"/>
        </w:rPr>
        <w:lastRenderedPageBreak/>
        <w:t>collection of small bets, rather than one big bet. It should also seek to align itself to ANZ's ability to generate cyclical income, and CSL's overall characteristics of a global healthcare company, while also acknowledging that CSL's company-specific execution risk is not enough to warrant defensive selection.</w:t>
      </w:r>
    </w:p>
    <w:p w14:paraId="199C55C2" w14:textId="62FCC81B" w:rsidR="000545CB" w:rsidRPr="002B61DF" w:rsidRDefault="00F96910" w:rsidP="002B61DF">
      <w:pPr>
        <w:spacing w:after="160" w:line="360" w:lineRule="auto"/>
        <w:jc w:val="both"/>
        <w:rPr>
          <w:rFonts w:cs="Arial"/>
        </w:rPr>
      </w:pPr>
      <w:r w:rsidRPr="002B61DF">
        <w:rPr>
          <w:rFonts w:cs="Arial"/>
        </w:rPr>
        <w:t>There are also different channels for each security, at the global level. The primary macro risk for ANZ is related to Australian housing, business credit and wholesale funding costs – a scenario of ‘stagflation’ with high funding costs and increasing arrears. The factors which have a bigger impact on CSL are: US health care demand growth, Chinese albumin pricing, vaccine demand and the Australian dollar translation effect. This is a reinforcement of the diversification argument as the same macro event does not impact both earnings streams simultaneously and with equal impact.</w:t>
      </w:r>
    </w:p>
    <w:p w14:paraId="45118484" w14:textId="77777777" w:rsidR="00475888" w:rsidRPr="002B61DF" w:rsidRDefault="00000000" w:rsidP="002B61DF">
      <w:pPr>
        <w:pStyle w:val="Heading1"/>
      </w:pPr>
      <w:bookmarkStart w:id="3" w:name="_Toc229524581"/>
      <w:r w:rsidRPr="002B61DF">
        <w:t>Industry and security analysis</w:t>
      </w:r>
      <w:bookmarkEnd w:id="3"/>
    </w:p>
    <w:p w14:paraId="79BBF9CF" w14:textId="77777777" w:rsidR="003476E5" w:rsidRPr="002B61DF" w:rsidRDefault="003476E5" w:rsidP="002B61DF">
      <w:pPr>
        <w:spacing w:after="160" w:line="360" w:lineRule="auto"/>
        <w:jc w:val="both"/>
        <w:rPr>
          <w:rFonts w:cs="Arial"/>
        </w:rPr>
      </w:pPr>
      <w:r w:rsidRPr="002B61DF">
        <w:rPr>
          <w:rFonts w:cs="Arial"/>
        </w:rPr>
        <w:t xml:space="preserve">ANZ's business is diversified and its earnings are dependent on Loan Growth, Net Interest Margin, Deposit Competition, Credit Quality, Regulation &amp; Capital Strength. In terms of cash profit, it has seen a decrease from A$6.725 billion in 2024 to A$5.787 billion in 2025, while the cash net interest margin (CET1 capital ratio) stands at 1.55 per cent (ANZ, 2025). These are indicative of a well </w:t>
      </w:r>
      <w:proofErr w:type="spellStart"/>
      <w:r w:rsidRPr="002B61DF">
        <w:rPr>
          <w:rFonts w:cs="Arial"/>
        </w:rPr>
        <w:t>capitalised</w:t>
      </w:r>
      <w:proofErr w:type="spellEnd"/>
      <w:r w:rsidRPr="002B61DF">
        <w:rPr>
          <w:rFonts w:cs="Arial"/>
        </w:rPr>
        <w:t xml:space="preserve"> bank but one with some short-term pressure on its earnings. Accordingly, the investment opportunity is hinged on dividend income and the quality of the franchise and measured operational improvement, not perfect past results.</w:t>
      </w:r>
    </w:p>
    <w:p w14:paraId="57598ECD" w14:textId="3B6B6AD1" w:rsidR="000545CB" w:rsidRPr="002B61DF" w:rsidRDefault="003476E5" w:rsidP="002B61DF">
      <w:pPr>
        <w:spacing w:after="160" w:line="360" w:lineRule="auto"/>
        <w:jc w:val="both"/>
        <w:rPr>
          <w:rFonts w:cs="Arial"/>
        </w:rPr>
      </w:pPr>
      <w:r w:rsidRPr="002B61DF">
        <w:rPr>
          <w:rFonts w:cs="Arial"/>
        </w:rPr>
        <w:t>This mixed opinion is reflected in the markets recently. ANZ's annual cash earnings declined 14 per cent as a result of margin pressure and one-off charges (Reuters, 2025a) and later it reported cash profits for the first-quarter of the FY2026 were up 19 per cent due to cost savings (Reuters, 2026a). ANZ is appealing for a moderately risk averse investor due to its relatively high dividend yield and lower volatility compared to CSL, and with its earnings monitoring system being a bit more evident, through NIM, arrears, cost to income and CET1. The primary concerns are the threat of further rate hikes, regulatory sanctions, mortgage market competition and Suncorp integration implementation and deteriorating home loan standards.</w:t>
      </w:r>
    </w:p>
    <w:p w14:paraId="5FB6F200" w14:textId="77777777" w:rsidR="00EF1BF3" w:rsidRPr="002B61DF" w:rsidRDefault="00EF1BF3" w:rsidP="002B61DF">
      <w:pPr>
        <w:spacing w:after="160" w:line="360" w:lineRule="auto"/>
        <w:jc w:val="both"/>
        <w:rPr>
          <w:rFonts w:cs="Arial"/>
        </w:rPr>
      </w:pPr>
      <w:r w:rsidRPr="002B61DF">
        <w:rPr>
          <w:rFonts w:cs="Arial"/>
        </w:rPr>
        <w:lastRenderedPageBreak/>
        <w:t xml:space="preserve">CSL is a world-class biopharmaceutical firm, whose revenue is spread over plasma derived therapies, vaccines and specialty pharmaceuticals. According to CSL's 2025 annual report, annual revenue was US$15.6 billion, over 100 countries in which CSL operates, and annual dividends were US$2.92 per share in 2025, with more than 29,000 employees working for CSL (CSL, 2025). Its enduring advantages include its ability to gather plasma in large volumes and process it for </w:t>
      </w:r>
      <w:proofErr w:type="spellStart"/>
      <w:r w:rsidRPr="002B61DF">
        <w:rPr>
          <w:rFonts w:cs="Arial"/>
        </w:rPr>
        <w:t>specialised</w:t>
      </w:r>
      <w:proofErr w:type="spellEnd"/>
      <w:r w:rsidRPr="002B61DF">
        <w:rPr>
          <w:rFonts w:cs="Arial"/>
        </w:rPr>
        <w:t xml:space="preserve"> applications, as well as having an international distribution network and access to the healthcare market, which thrives on consumers' income, but not necessarily in tandem with the economy. These attributes contribute to CSL's value in a two-share portfolio even in the wake of a challenging share price.</w:t>
      </w:r>
    </w:p>
    <w:p w14:paraId="4D86380A" w14:textId="086EC57E" w:rsidR="00EF1BF3" w:rsidRPr="002B61DF" w:rsidRDefault="00EF1BF3" w:rsidP="002B61DF">
      <w:pPr>
        <w:spacing w:after="160" w:line="360" w:lineRule="auto"/>
        <w:jc w:val="both"/>
        <w:rPr>
          <w:rFonts w:cs="Arial"/>
        </w:rPr>
      </w:pPr>
      <w:r w:rsidRPr="002B61DF">
        <w:rPr>
          <w:rFonts w:cs="Arial"/>
        </w:rPr>
        <w:t>It's still got to be significant. The stock price drop is not driven by market volatility; it's due to execution risk. A restructuring plan with up to 3,000 job cuts and plans to spin off the vaccine business – with expected cost savings of an annual figure – were reported by Reuters (2025b) and Reuters (2025c), as was lower demand for vaccines in the United States and delays in the plans to spin off the vaccine arm. Capital Brief later reported that it would downgrade once again in FY2026, with expectations of being able to generate approximately US$15.2 billion of revenue, US$3.1 billion of NPAT, and US$5 billion of impairment costs (Capital Brief, 2026). CSL is thus of course not meant to be held as a low-risk asset anymore, but as an asset to be recovered and diversified.</w:t>
      </w:r>
    </w:p>
    <w:p w14:paraId="0F198785" w14:textId="77777777" w:rsidR="00475888" w:rsidRPr="002B61DF" w:rsidRDefault="00000000" w:rsidP="002B61DF">
      <w:pPr>
        <w:pStyle w:val="Heading1"/>
      </w:pPr>
      <w:bookmarkStart w:id="4" w:name="_Toc229524582"/>
      <w:r w:rsidRPr="002B61DF">
        <w:t>Quantitative return, risk and expected return derivation</w:t>
      </w:r>
      <w:bookmarkEnd w:id="4"/>
    </w:p>
    <w:p w14:paraId="31875D38" w14:textId="15D1F1BF" w:rsidR="00EF1BF3" w:rsidRPr="002B61DF" w:rsidRDefault="00EF1BF3" w:rsidP="002B61DF">
      <w:pPr>
        <w:spacing w:after="160" w:line="360" w:lineRule="auto"/>
        <w:jc w:val="both"/>
        <w:rPr>
          <w:rFonts w:cs="Arial"/>
        </w:rPr>
      </w:pPr>
      <w:r w:rsidRPr="002B61DF">
        <w:rPr>
          <w:rFonts w:cs="Arial"/>
        </w:rPr>
        <w:t xml:space="preserve">The risk and return evidence </w:t>
      </w:r>
      <w:proofErr w:type="gramStart"/>
      <w:r w:rsidRPr="002B61DF">
        <w:rPr>
          <w:rFonts w:cs="Arial"/>
        </w:rPr>
        <w:t>is</w:t>
      </w:r>
      <w:proofErr w:type="gramEnd"/>
      <w:r w:rsidRPr="002B61DF">
        <w:rPr>
          <w:rFonts w:cs="Arial"/>
        </w:rPr>
        <w:t xml:space="preserve"> for the month of December 2023 through December 2025. Adjusted prices are preferred as it takes into consideration dividend and </w:t>
      </w:r>
      <w:proofErr w:type="spellStart"/>
      <w:r w:rsidRPr="002B61DF">
        <w:rPr>
          <w:rFonts w:cs="Arial"/>
        </w:rPr>
        <w:t>corp</w:t>
      </w:r>
      <w:proofErr w:type="spellEnd"/>
      <w:r w:rsidRPr="002B61DF">
        <w:rPr>
          <w:rFonts w:cs="Arial"/>
        </w:rPr>
        <w:t xml:space="preserve"> action effects more appropriately as compared to raw closing prices. Annual returns are the percentage change in the adjusted price over the course of the year: (ending adjusted price / beginning adjusted price) - 1. Monthly returns are used to compute </w:t>
      </w:r>
      <w:proofErr w:type="spellStart"/>
      <w:r w:rsidRPr="002B61DF">
        <w:rPr>
          <w:rFonts w:cs="Arial"/>
        </w:rPr>
        <w:t>annualised</w:t>
      </w:r>
      <w:proofErr w:type="spellEnd"/>
      <w:r w:rsidRPr="002B61DF">
        <w:rPr>
          <w:rFonts w:cs="Arial"/>
        </w:rPr>
        <w:t xml:space="preserve"> risk, </w:t>
      </w:r>
      <w:proofErr w:type="spellStart"/>
      <w:r w:rsidRPr="002B61DF">
        <w:rPr>
          <w:rFonts w:cs="Arial"/>
        </w:rPr>
        <w:t>σannual</w:t>
      </w:r>
      <w:proofErr w:type="spellEnd"/>
      <w:r w:rsidRPr="002B61DF">
        <w:rPr>
          <w:rFonts w:cs="Arial"/>
        </w:rPr>
        <w:t xml:space="preserve"> = </w:t>
      </w:r>
      <w:proofErr w:type="spellStart"/>
      <w:r w:rsidRPr="002B61DF">
        <w:rPr>
          <w:rFonts w:cs="Arial"/>
        </w:rPr>
        <w:t>σmonthly</w:t>
      </w:r>
      <w:proofErr w:type="spellEnd"/>
      <w:r w:rsidRPr="002B61DF">
        <w:rPr>
          <w:rFonts w:cs="Arial"/>
        </w:rPr>
        <w:t xml:space="preserve"> x √12, which is the square-root of 12. This negative correlation between ANZ and CSL is significant as it means that diversification in a portfolio, according to the Markowitz Diversification Theory, 1952 (Markowitz, 1952) will lead to a decrease in variance.</w:t>
      </w:r>
    </w:p>
    <w:p w14:paraId="6FF36546" w14:textId="7F3DBC8C" w:rsidR="007B2E45" w:rsidRPr="002B61DF" w:rsidRDefault="007B2E45" w:rsidP="002B61DF">
      <w:pPr>
        <w:pStyle w:val="Caption"/>
        <w:keepNext/>
        <w:spacing w:line="360" w:lineRule="auto"/>
        <w:rPr>
          <w:rFonts w:cs="Arial"/>
        </w:rPr>
      </w:pPr>
      <w:bookmarkStart w:id="5" w:name="_Toc229524450"/>
      <w:r w:rsidRPr="002B61DF">
        <w:rPr>
          <w:rFonts w:cs="Arial"/>
        </w:rPr>
        <w:lastRenderedPageBreak/>
        <w:t xml:space="preserve">Table </w:t>
      </w:r>
      <w:r w:rsidRPr="002B61DF">
        <w:rPr>
          <w:rFonts w:cs="Arial"/>
        </w:rPr>
        <w:fldChar w:fldCharType="begin"/>
      </w:r>
      <w:r w:rsidRPr="002B61DF">
        <w:rPr>
          <w:rFonts w:cs="Arial"/>
        </w:rPr>
        <w:instrText xml:space="preserve"> SEQ Table \* ARABIC </w:instrText>
      </w:r>
      <w:r w:rsidRPr="002B61DF">
        <w:rPr>
          <w:rFonts w:cs="Arial"/>
        </w:rPr>
        <w:fldChar w:fldCharType="separate"/>
      </w:r>
      <w:r w:rsidRPr="002B61DF">
        <w:rPr>
          <w:rFonts w:cs="Arial"/>
          <w:noProof/>
        </w:rPr>
        <w:t>1</w:t>
      </w:r>
      <w:r w:rsidRPr="002B61DF">
        <w:rPr>
          <w:rFonts w:cs="Arial"/>
        </w:rPr>
        <w:fldChar w:fldCharType="end"/>
      </w:r>
      <w:r w:rsidRPr="002B61DF">
        <w:rPr>
          <w:rFonts w:cs="Arial"/>
        </w:rPr>
        <w:t xml:space="preserve"> Return and risk inputs</w:t>
      </w:r>
      <w:bookmarkEnd w:id="5"/>
    </w:p>
    <w:tbl>
      <w:tblPr>
        <w:tblStyle w:val="TableGrid"/>
        <w:tblW w:w="0" w:type="auto"/>
        <w:jc w:val="center"/>
        <w:tblLook w:val="04A0" w:firstRow="1" w:lastRow="0" w:firstColumn="1" w:lastColumn="0" w:noHBand="0" w:noVBand="1"/>
      </w:tblPr>
      <w:tblGrid>
        <w:gridCol w:w="2351"/>
        <w:gridCol w:w="2351"/>
        <w:gridCol w:w="2351"/>
        <w:gridCol w:w="2351"/>
      </w:tblGrid>
      <w:tr w:rsidR="00475888" w:rsidRPr="002B61DF" w14:paraId="759FFA8B" w14:textId="77777777">
        <w:trPr>
          <w:jc w:val="center"/>
        </w:trPr>
        <w:tc>
          <w:tcPr>
            <w:tcW w:w="2351" w:type="dxa"/>
            <w:shd w:val="clear" w:color="auto" w:fill="D9EAF7"/>
            <w:vAlign w:val="center"/>
          </w:tcPr>
          <w:p w14:paraId="3D145D3A" w14:textId="77777777" w:rsidR="00475888" w:rsidRPr="002B61DF" w:rsidRDefault="00000000" w:rsidP="002B61DF">
            <w:pPr>
              <w:spacing w:line="360" w:lineRule="auto"/>
              <w:jc w:val="center"/>
              <w:rPr>
                <w:rFonts w:cs="Arial"/>
                <w:szCs w:val="24"/>
              </w:rPr>
            </w:pPr>
            <w:r w:rsidRPr="002B61DF">
              <w:rPr>
                <w:rFonts w:cs="Arial"/>
                <w:b/>
                <w:szCs w:val="24"/>
              </w:rPr>
              <w:t>Measure</w:t>
            </w:r>
          </w:p>
        </w:tc>
        <w:tc>
          <w:tcPr>
            <w:tcW w:w="2351" w:type="dxa"/>
            <w:shd w:val="clear" w:color="auto" w:fill="D9EAF7"/>
            <w:vAlign w:val="center"/>
          </w:tcPr>
          <w:p w14:paraId="5149436D" w14:textId="77777777" w:rsidR="00475888" w:rsidRPr="002B61DF" w:rsidRDefault="00000000" w:rsidP="002B61DF">
            <w:pPr>
              <w:spacing w:line="360" w:lineRule="auto"/>
              <w:jc w:val="center"/>
              <w:rPr>
                <w:rFonts w:cs="Arial"/>
                <w:szCs w:val="24"/>
              </w:rPr>
            </w:pPr>
            <w:r w:rsidRPr="002B61DF">
              <w:rPr>
                <w:rFonts w:cs="Arial"/>
                <w:b/>
                <w:szCs w:val="24"/>
              </w:rPr>
              <w:t>ANZ</w:t>
            </w:r>
          </w:p>
        </w:tc>
        <w:tc>
          <w:tcPr>
            <w:tcW w:w="2351" w:type="dxa"/>
            <w:shd w:val="clear" w:color="auto" w:fill="D9EAF7"/>
            <w:vAlign w:val="center"/>
          </w:tcPr>
          <w:p w14:paraId="02AC7FC6" w14:textId="77777777" w:rsidR="00475888" w:rsidRPr="002B61DF" w:rsidRDefault="00000000" w:rsidP="002B61DF">
            <w:pPr>
              <w:spacing w:line="360" w:lineRule="auto"/>
              <w:jc w:val="center"/>
              <w:rPr>
                <w:rFonts w:cs="Arial"/>
                <w:szCs w:val="24"/>
              </w:rPr>
            </w:pPr>
            <w:r w:rsidRPr="002B61DF">
              <w:rPr>
                <w:rFonts w:cs="Arial"/>
                <w:b/>
                <w:szCs w:val="24"/>
              </w:rPr>
              <w:t>CSL</w:t>
            </w:r>
          </w:p>
        </w:tc>
        <w:tc>
          <w:tcPr>
            <w:tcW w:w="2351" w:type="dxa"/>
            <w:shd w:val="clear" w:color="auto" w:fill="D9EAF7"/>
            <w:vAlign w:val="center"/>
          </w:tcPr>
          <w:p w14:paraId="2EAE73DF" w14:textId="77777777" w:rsidR="00475888" w:rsidRPr="002B61DF" w:rsidRDefault="00000000" w:rsidP="002B61DF">
            <w:pPr>
              <w:spacing w:line="360" w:lineRule="auto"/>
              <w:jc w:val="center"/>
              <w:rPr>
                <w:rFonts w:cs="Arial"/>
                <w:szCs w:val="24"/>
              </w:rPr>
            </w:pPr>
            <w:r w:rsidRPr="002B61DF">
              <w:rPr>
                <w:rFonts w:cs="Arial"/>
                <w:b/>
                <w:szCs w:val="24"/>
              </w:rPr>
              <w:t>Interpretation</w:t>
            </w:r>
          </w:p>
        </w:tc>
      </w:tr>
      <w:tr w:rsidR="00475888" w:rsidRPr="002B61DF" w14:paraId="5202ECCB" w14:textId="77777777">
        <w:trPr>
          <w:jc w:val="center"/>
        </w:trPr>
        <w:tc>
          <w:tcPr>
            <w:tcW w:w="2351" w:type="dxa"/>
            <w:vAlign w:val="center"/>
          </w:tcPr>
          <w:p w14:paraId="155B90BF" w14:textId="77777777" w:rsidR="00475888" w:rsidRPr="002B61DF" w:rsidRDefault="00000000" w:rsidP="002B61DF">
            <w:pPr>
              <w:spacing w:line="360" w:lineRule="auto"/>
              <w:rPr>
                <w:rFonts w:cs="Arial"/>
                <w:szCs w:val="24"/>
              </w:rPr>
            </w:pPr>
            <w:r w:rsidRPr="002B61DF">
              <w:rPr>
                <w:rFonts w:cs="Arial"/>
                <w:szCs w:val="24"/>
              </w:rPr>
              <w:t>2024 return</w:t>
            </w:r>
          </w:p>
        </w:tc>
        <w:tc>
          <w:tcPr>
            <w:tcW w:w="2351" w:type="dxa"/>
            <w:vAlign w:val="center"/>
          </w:tcPr>
          <w:p w14:paraId="74CCB897" w14:textId="77777777" w:rsidR="00475888" w:rsidRPr="002B61DF" w:rsidRDefault="00000000" w:rsidP="002B61DF">
            <w:pPr>
              <w:spacing w:line="360" w:lineRule="auto"/>
              <w:rPr>
                <w:rFonts w:cs="Arial"/>
                <w:szCs w:val="24"/>
              </w:rPr>
            </w:pPr>
            <w:r w:rsidRPr="002B61DF">
              <w:rPr>
                <w:rFonts w:cs="Arial"/>
                <w:szCs w:val="24"/>
              </w:rPr>
              <w:t>16.33%</w:t>
            </w:r>
          </w:p>
        </w:tc>
        <w:tc>
          <w:tcPr>
            <w:tcW w:w="2351" w:type="dxa"/>
            <w:vAlign w:val="center"/>
          </w:tcPr>
          <w:p w14:paraId="6CD26473" w14:textId="77777777" w:rsidR="00475888" w:rsidRPr="002B61DF" w:rsidRDefault="00000000" w:rsidP="002B61DF">
            <w:pPr>
              <w:spacing w:line="360" w:lineRule="auto"/>
              <w:rPr>
                <w:rFonts w:cs="Arial"/>
                <w:szCs w:val="24"/>
              </w:rPr>
            </w:pPr>
            <w:r w:rsidRPr="002B61DF">
              <w:rPr>
                <w:rFonts w:cs="Arial"/>
                <w:szCs w:val="24"/>
              </w:rPr>
              <w:t>-0.43%</w:t>
            </w:r>
          </w:p>
        </w:tc>
        <w:tc>
          <w:tcPr>
            <w:tcW w:w="2351" w:type="dxa"/>
            <w:vAlign w:val="center"/>
          </w:tcPr>
          <w:p w14:paraId="5E6489AF" w14:textId="77777777" w:rsidR="00475888" w:rsidRPr="002B61DF" w:rsidRDefault="00000000" w:rsidP="002B61DF">
            <w:pPr>
              <w:spacing w:line="360" w:lineRule="auto"/>
              <w:rPr>
                <w:rFonts w:cs="Arial"/>
                <w:szCs w:val="24"/>
              </w:rPr>
            </w:pPr>
            <w:r w:rsidRPr="002B61DF">
              <w:rPr>
                <w:rFonts w:cs="Arial"/>
                <w:szCs w:val="24"/>
              </w:rPr>
              <w:t>ANZ outperformed; CSL was broadly flat.</w:t>
            </w:r>
          </w:p>
        </w:tc>
      </w:tr>
      <w:tr w:rsidR="00475888" w:rsidRPr="002B61DF" w14:paraId="4F9F3DB1" w14:textId="77777777">
        <w:trPr>
          <w:jc w:val="center"/>
        </w:trPr>
        <w:tc>
          <w:tcPr>
            <w:tcW w:w="2351" w:type="dxa"/>
            <w:vAlign w:val="center"/>
          </w:tcPr>
          <w:p w14:paraId="55430901" w14:textId="77777777" w:rsidR="00475888" w:rsidRPr="002B61DF" w:rsidRDefault="00000000" w:rsidP="002B61DF">
            <w:pPr>
              <w:spacing w:line="360" w:lineRule="auto"/>
              <w:rPr>
                <w:rFonts w:cs="Arial"/>
                <w:szCs w:val="24"/>
              </w:rPr>
            </w:pPr>
            <w:r w:rsidRPr="002B61DF">
              <w:rPr>
                <w:rFonts w:cs="Arial"/>
                <w:szCs w:val="24"/>
              </w:rPr>
              <w:t>2025 return</w:t>
            </w:r>
          </w:p>
        </w:tc>
        <w:tc>
          <w:tcPr>
            <w:tcW w:w="2351" w:type="dxa"/>
            <w:vAlign w:val="center"/>
          </w:tcPr>
          <w:p w14:paraId="07BD3C5D" w14:textId="77777777" w:rsidR="00475888" w:rsidRPr="002B61DF" w:rsidRDefault="00000000" w:rsidP="002B61DF">
            <w:pPr>
              <w:spacing w:line="360" w:lineRule="auto"/>
              <w:rPr>
                <w:rFonts w:cs="Arial"/>
                <w:szCs w:val="24"/>
              </w:rPr>
            </w:pPr>
            <w:r w:rsidRPr="002B61DF">
              <w:rPr>
                <w:rFonts w:cs="Arial"/>
                <w:szCs w:val="24"/>
              </w:rPr>
              <w:t>33.90%</w:t>
            </w:r>
          </w:p>
        </w:tc>
        <w:tc>
          <w:tcPr>
            <w:tcW w:w="2351" w:type="dxa"/>
            <w:vAlign w:val="center"/>
          </w:tcPr>
          <w:p w14:paraId="01C17CD4" w14:textId="77777777" w:rsidR="00475888" w:rsidRPr="002B61DF" w:rsidRDefault="00000000" w:rsidP="002B61DF">
            <w:pPr>
              <w:spacing w:line="360" w:lineRule="auto"/>
              <w:rPr>
                <w:rFonts w:cs="Arial"/>
                <w:szCs w:val="24"/>
              </w:rPr>
            </w:pPr>
            <w:r w:rsidRPr="002B61DF">
              <w:rPr>
                <w:rFonts w:cs="Arial"/>
                <w:szCs w:val="24"/>
              </w:rPr>
              <w:t>-37.47%</w:t>
            </w:r>
          </w:p>
        </w:tc>
        <w:tc>
          <w:tcPr>
            <w:tcW w:w="2351" w:type="dxa"/>
            <w:vAlign w:val="center"/>
          </w:tcPr>
          <w:p w14:paraId="76DE779A" w14:textId="77777777" w:rsidR="00475888" w:rsidRPr="002B61DF" w:rsidRDefault="00000000" w:rsidP="002B61DF">
            <w:pPr>
              <w:spacing w:line="360" w:lineRule="auto"/>
              <w:rPr>
                <w:rFonts w:cs="Arial"/>
                <w:szCs w:val="24"/>
              </w:rPr>
            </w:pPr>
            <w:r w:rsidRPr="002B61DF">
              <w:rPr>
                <w:rFonts w:cs="Arial"/>
                <w:szCs w:val="24"/>
              </w:rPr>
              <w:t>ANZ rallied while CSL sold off sharply.</w:t>
            </w:r>
          </w:p>
        </w:tc>
      </w:tr>
      <w:tr w:rsidR="00475888" w:rsidRPr="002B61DF" w14:paraId="0AFAACE6" w14:textId="77777777">
        <w:trPr>
          <w:jc w:val="center"/>
        </w:trPr>
        <w:tc>
          <w:tcPr>
            <w:tcW w:w="2351" w:type="dxa"/>
            <w:vAlign w:val="center"/>
          </w:tcPr>
          <w:p w14:paraId="2B0E8B8A" w14:textId="77777777" w:rsidR="00475888" w:rsidRPr="002B61DF" w:rsidRDefault="00000000" w:rsidP="002B61DF">
            <w:pPr>
              <w:spacing w:line="360" w:lineRule="auto"/>
              <w:rPr>
                <w:rFonts w:cs="Arial"/>
                <w:szCs w:val="24"/>
              </w:rPr>
            </w:pPr>
            <w:proofErr w:type="spellStart"/>
            <w:r w:rsidRPr="002B61DF">
              <w:rPr>
                <w:rFonts w:cs="Arial"/>
                <w:szCs w:val="24"/>
              </w:rPr>
              <w:t>Annualised</w:t>
            </w:r>
            <w:proofErr w:type="spellEnd"/>
            <w:r w:rsidRPr="002B61DF">
              <w:rPr>
                <w:rFonts w:cs="Arial"/>
                <w:szCs w:val="24"/>
              </w:rPr>
              <w:t xml:space="preserve"> risk, σ</w:t>
            </w:r>
          </w:p>
        </w:tc>
        <w:tc>
          <w:tcPr>
            <w:tcW w:w="2351" w:type="dxa"/>
            <w:vAlign w:val="center"/>
          </w:tcPr>
          <w:p w14:paraId="680BF79C" w14:textId="77777777" w:rsidR="00475888" w:rsidRPr="002B61DF" w:rsidRDefault="00000000" w:rsidP="002B61DF">
            <w:pPr>
              <w:spacing w:line="360" w:lineRule="auto"/>
              <w:rPr>
                <w:rFonts w:cs="Arial"/>
                <w:szCs w:val="24"/>
              </w:rPr>
            </w:pPr>
            <w:r w:rsidRPr="002B61DF">
              <w:rPr>
                <w:rFonts w:cs="Arial"/>
                <w:szCs w:val="24"/>
              </w:rPr>
              <w:t>15.24%</w:t>
            </w:r>
          </w:p>
        </w:tc>
        <w:tc>
          <w:tcPr>
            <w:tcW w:w="2351" w:type="dxa"/>
            <w:vAlign w:val="center"/>
          </w:tcPr>
          <w:p w14:paraId="2E270AA4" w14:textId="77777777" w:rsidR="00475888" w:rsidRPr="002B61DF" w:rsidRDefault="00000000" w:rsidP="002B61DF">
            <w:pPr>
              <w:spacing w:line="360" w:lineRule="auto"/>
              <w:rPr>
                <w:rFonts w:cs="Arial"/>
                <w:szCs w:val="24"/>
              </w:rPr>
            </w:pPr>
            <w:r w:rsidRPr="002B61DF">
              <w:rPr>
                <w:rFonts w:cs="Arial"/>
                <w:szCs w:val="24"/>
              </w:rPr>
              <w:t>22.91%</w:t>
            </w:r>
          </w:p>
        </w:tc>
        <w:tc>
          <w:tcPr>
            <w:tcW w:w="2351" w:type="dxa"/>
            <w:vAlign w:val="center"/>
          </w:tcPr>
          <w:p w14:paraId="2AD00FCB" w14:textId="77777777" w:rsidR="00475888" w:rsidRPr="002B61DF" w:rsidRDefault="00000000" w:rsidP="002B61DF">
            <w:pPr>
              <w:spacing w:line="360" w:lineRule="auto"/>
              <w:rPr>
                <w:rFonts w:cs="Arial"/>
                <w:szCs w:val="24"/>
              </w:rPr>
            </w:pPr>
            <w:r w:rsidRPr="002B61DF">
              <w:rPr>
                <w:rFonts w:cs="Arial"/>
                <w:szCs w:val="24"/>
              </w:rPr>
              <w:t>CSL had materially higher volatility.</w:t>
            </w:r>
          </w:p>
        </w:tc>
      </w:tr>
      <w:tr w:rsidR="00475888" w:rsidRPr="002B61DF" w14:paraId="14AA5179" w14:textId="77777777">
        <w:trPr>
          <w:jc w:val="center"/>
        </w:trPr>
        <w:tc>
          <w:tcPr>
            <w:tcW w:w="2351" w:type="dxa"/>
            <w:vAlign w:val="center"/>
          </w:tcPr>
          <w:p w14:paraId="4DC7B857" w14:textId="77777777" w:rsidR="00475888" w:rsidRPr="002B61DF" w:rsidRDefault="00000000" w:rsidP="002B61DF">
            <w:pPr>
              <w:spacing w:line="360" w:lineRule="auto"/>
              <w:rPr>
                <w:rFonts w:cs="Arial"/>
                <w:szCs w:val="24"/>
              </w:rPr>
            </w:pPr>
            <w:r w:rsidRPr="002B61DF">
              <w:rPr>
                <w:rFonts w:cs="Arial"/>
                <w:szCs w:val="24"/>
              </w:rPr>
              <w:t>Correlation</w:t>
            </w:r>
          </w:p>
        </w:tc>
        <w:tc>
          <w:tcPr>
            <w:tcW w:w="2351" w:type="dxa"/>
            <w:vAlign w:val="center"/>
          </w:tcPr>
          <w:p w14:paraId="01F7B1B5" w14:textId="77777777" w:rsidR="00475888" w:rsidRPr="002B61DF" w:rsidRDefault="00000000" w:rsidP="002B61DF">
            <w:pPr>
              <w:spacing w:line="360" w:lineRule="auto"/>
              <w:rPr>
                <w:rFonts w:cs="Arial"/>
                <w:szCs w:val="24"/>
              </w:rPr>
            </w:pPr>
            <w:r w:rsidRPr="002B61DF">
              <w:rPr>
                <w:rFonts w:cs="Arial"/>
                <w:szCs w:val="24"/>
              </w:rPr>
              <w:t>-0.213</w:t>
            </w:r>
          </w:p>
        </w:tc>
        <w:tc>
          <w:tcPr>
            <w:tcW w:w="2351" w:type="dxa"/>
            <w:vAlign w:val="center"/>
          </w:tcPr>
          <w:p w14:paraId="166926E7" w14:textId="77777777" w:rsidR="00475888" w:rsidRPr="002B61DF" w:rsidRDefault="00000000" w:rsidP="002B61DF">
            <w:pPr>
              <w:spacing w:line="360" w:lineRule="auto"/>
              <w:rPr>
                <w:rFonts w:cs="Arial"/>
                <w:szCs w:val="24"/>
              </w:rPr>
            </w:pPr>
            <w:r w:rsidRPr="002B61DF">
              <w:rPr>
                <w:rFonts w:cs="Arial"/>
                <w:szCs w:val="24"/>
              </w:rPr>
              <w:t>-0.213</w:t>
            </w:r>
          </w:p>
        </w:tc>
        <w:tc>
          <w:tcPr>
            <w:tcW w:w="2351" w:type="dxa"/>
            <w:vAlign w:val="center"/>
          </w:tcPr>
          <w:p w14:paraId="5B061D99" w14:textId="77777777" w:rsidR="00475888" w:rsidRPr="002B61DF" w:rsidRDefault="00000000" w:rsidP="002B61DF">
            <w:pPr>
              <w:spacing w:line="360" w:lineRule="auto"/>
              <w:rPr>
                <w:rFonts w:cs="Arial"/>
                <w:szCs w:val="24"/>
              </w:rPr>
            </w:pPr>
            <w:r w:rsidRPr="002B61DF">
              <w:rPr>
                <w:rFonts w:cs="Arial"/>
                <w:szCs w:val="24"/>
              </w:rPr>
              <w:t>Negative cross-correlation creates diversification benefit.</w:t>
            </w:r>
          </w:p>
        </w:tc>
      </w:tr>
      <w:tr w:rsidR="00475888" w:rsidRPr="002B61DF" w14:paraId="1D1761AE" w14:textId="77777777">
        <w:trPr>
          <w:jc w:val="center"/>
        </w:trPr>
        <w:tc>
          <w:tcPr>
            <w:tcW w:w="2351" w:type="dxa"/>
            <w:vAlign w:val="center"/>
          </w:tcPr>
          <w:p w14:paraId="65044F18" w14:textId="77777777" w:rsidR="00475888" w:rsidRPr="002B61DF" w:rsidRDefault="00000000" w:rsidP="002B61DF">
            <w:pPr>
              <w:spacing w:line="360" w:lineRule="auto"/>
              <w:rPr>
                <w:rFonts w:cs="Arial"/>
                <w:szCs w:val="24"/>
              </w:rPr>
            </w:pPr>
            <w:r w:rsidRPr="002B61DF">
              <w:rPr>
                <w:rFonts w:cs="Arial"/>
                <w:szCs w:val="24"/>
              </w:rPr>
              <w:t>Forward expected return used</w:t>
            </w:r>
          </w:p>
        </w:tc>
        <w:tc>
          <w:tcPr>
            <w:tcW w:w="2351" w:type="dxa"/>
            <w:vAlign w:val="center"/>
          </w:tcPr>
          <w:p w14:paraId="715B3823" w14:textId="77777777" w:rsidR="00475888" w:rsidRPr="002B61DF" w:rsidRDefault="00000000" w:rsidP="002B61DF">
            <w:pPr>
              <w:spacing w:line="360" w:lineRule="auto"/>
              <w:rPr>
                <w:rFonts w:cs="Arial"/>
                <w:szCs w:val="24"/>
              </w:rPr>
            </w:pPr>
            <w:r w:rsidRPr="002B61DF">
              <w:rPr>
                <w:rFonts w:cs="Arial"/>
                <w:szCs w:val="24"/>
              </w:rPr>
              <w:t>10.50%</w:t>
            </w:r>
          </w:p>
        </w:tc>
        <w:tc>
          <w:tcPr>
            <w:tcW w:w="2351" w:type="dxa"/>
            <w:vAlign w:val="center"/>
          </w:tcPr>
          <w:p w14:paraId="5385908C" w14:textId="77777777" w:rsidR="00475888" w:rsidRPr="002B61DF" w:rsidRDefault="00000000" w:rsidP="002B61DF">
            <w:pPr>
              <w:spacing w:line="360" w:lineRule="auto"/>
              <w:rPr>
                <w:rFonts w:cs="Arial"/>
                <w:szCs w:val="24"/>
              </w:rPr>
            </w:pPr>
            <w:r w:rsidRPr="002B61DF">
              <w:rPr>
                <w:rFonts w:cs="Arial"/>
                <w:szCs w:val="24"/>
              </w:rPr>
              <w:t>12.00%</w:t>
            </w:r>
          </w:p>
        </w:tc>
        <w:tc>
          <w:tcPr>
            <w:tcW w:w="2351" w:type="dxa"/>
            <w:vAlign w:val="center"/>
          </w:tcPr>
          <w:p w14:paraId="46073209" w14:textId="77777777" w:rsidR="00475888" w:rsidRPr="002B61DF" w:rsidRDefault="00000000" w:rsidP="002B61DF">
            <w:pPr>
              <w:spacing w:line="360" w:lineRule="auto"/>
              <w:rPr>
                <w:rFonts w:cs="Arial"/>
                <w:szCs w:val="24"/>
              </w:rPr>
            </w:pPr>
            <w:r w:rsidRPr="002B61DF">
              <w:rPr>
                <w:rFonts w:cs="Arial"/>
                <w:szCs w:val="24"/>
              </w:rPr>
              <w:t>Derived through the blended model in Table 2.</w:t>
            </w:r>
          </w:p>
        </w:tc>
      </w:tr>
    </w:tbl>
    <w:p w14:paraId="250B24F5" w14:textId="4B28B3B9" w:rsidR="00475888" w:rsidRPr="002B61DF" w:rsidRDefault="00000000" w:rsidP="002B61DF">
      <w:pPr>
        <w:spacing w:after="120" w:line="360" w:lineRule="auto"/>
        <w:jc w:val="center"/>
        <w:rPr>
          <w:rFonts w:cs="Arial"/>
          <w:szCs w:val="24"/>
        </w:rPr>
      </w:pPr>
      <w:r w:rsidRPr="002B61DF">
        <w:rPr>
          <w:rFonts w:cs="Arial"/>
          <w:i/>
          <w:szCs w:val="24"/>
        </w:rPr>
        <w:t xml:space="preserve">Source: calculated from </w:t>
      </w:r>
      <w:proofErr w:type="spellStart"/>
      <w:r w:rsidRPr="002B61DF">
        <w:rPr>
          <w:rFonts w:cs="Arial"/>
          <w:i/>
          <w:szCs w:val="24"/>
        </w:rPr>
        <w:t>Digrin</w:t>
      </w:r>
      <w:proofErr w:type="spellEnd"/>
      <w:r w:rsidRPr="002B61DF">
        <w:rPr>
          <w:rFonts w:cs="Arial"/>
          <w:i/>
          <w:szCs w:val="24"/>
        </w:rPr>
        <w:t xml:space="preserve"> monthly adjusted prices and sources cited in the essay.</w:t>
      </w:r>
    </w:p>
    <w:p w14:paraId="31E0B07B" w14:textId="77777777" w:rsidR="007B2E45" w:rsidRPr="002B61DF" w:rsidRDefault="00000000" w:rsidP="002B61DF">
      <w:pPr>
        <w:keepNext/>
        <w:spacing w:line="360" w:lineRule="auto"/>
        <w:jc w:val="center"/>
        <w:rPr>
          <w:rFonts w:cs="Arial"/>
        </w:rPr>
      </w:pPr>
      <w:r w:rsidRPr="002B61DF">
        <w:rPr>
          <w:rFonts w:cs="Arial"/>
          <w:noProof/>
        </w:rPr>
        <w:drawing>
          <wp:inline distT="0" distB="0" distL="0" distR="0" wp14:anchorId="1D884698" wp14:editId="611E8C18">
            <wp:extent cx="4005943" cy="2377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z_csl_indexed_prices.png"/>
                    <pic:cNvPicPr/>
                  </pic:nvPicPr>
                  <pic:blipFill>
                    <a:blip r:embed="rId10"/>
                    <a:stretch>
                      <a:fillRect/>
                    </a:stretch>
                  </pic:blipFill>
                  <pic:spPr>
                    <a:xfrm>
                      <a:off x="0" y="0"/>
                      <a:ext cx="4009688" cy="2379663"/>
                    </a:xfrm>
                    <a:prstGeom prst="rect">
                      <a:avLst/>
                    </a:prstGeom>
                  </pic:spPr>
                </pic:pic>
              </a:graphicData>
            </a:graphic>
          </wp:inline>
        </w:drawing>
      </w:r>
    </w:p>
    <w:p w14:paraId="37958F31" w14:textId="7CFC4CE1" w:rsidR="00475888" w:rsidRPr="002B61DF" w:rsidRDefault="007B2E45" w:rsidP="002B61DF">
      <w:pPr>
        <w:pStyle w:val="Caption"/>
        <w:spacing w:line="360" w:lineRule="auto"/>
        <w:jc w:val="center"/>
        <w:rPr>
          <w:rFonts w:cs="Arial"/>
          <w:iCs/>
        </w:rPr>
      </w:pPr>
      <w:bookmarkStart w:id="6" w:name="_Toc229524478"/>
      <w:r w:rsidRPr="002B61DF">
        <w:rPr>
          <w:rFonts w:cs="Arial"/>
        </w:rPr>
        <w:t xml:space="preserve">Figure </w:t>
      </w:r>
      <w:r w:rsidRPr="002B61DF">
        <w:rPr>
          <w:rFonts w:cs="Arial"/>
        </w:rPr>
        <w:fldChar w:fldCharType="begin"/>
      </w:r>
      <w:r w:rsidRPr="002B61DF">
        <w:rPr>
          <w:rFonts w:cs="Arial"/>
        </w:rPr>
        <w:instrText xml:space="preserve"> SEQ Figure \* ARABIC </w:instrText>
      </w:r>
      <w:r w:rsidRPr="002B61DF">
        <w:rPr>
          <w:rFonts w:cs="Arial"/>
        </w:rPr>
        <w:fldChar w:fldCharType="separate"/>
      </w:r>
      <w:r w:rsidRPr="002B61DF">
        <w:rPr>
          <w:rFonts w:cs="Arial"/>
          <w:noProof/>
        </w:rPr>
        <w:t>1</w:t>
      </w:r>
      <w:r w:rsidRPr="002B61DF">
        <w:rPr>
          <w:rFonts w:cs="Arial"/>
        </w:rPr>
        <w:fldChar w:fldCharType="end"/>
      </w:r>
      <w:r w:rsidRPr="002B61DF">
        <w:rPr>
          <w:rFonts w:cs="Arial"/>
        </w:rPr>
        <w:t xml:space="preserve"> </w:t>
      </w:r>
      <w:r w:rsidRPr="002B61DF">
        <w:rPr>
          <w:rFonts w:cs="Arial"/>
          <w:iCs/>
        </w:rPr>
        <w:t>. Indexed adjusted-price performance, December 2023 = 100.</w:t>
      </w:r>
      <w:bookmarkEnd w:id="6"/>
    </w:p>
    <w:p w14:paraId="7FA30983" w14:textId="3C5DB059" w:rsidR="00475888" w:rsidRPr="002B61DF" w:rsidRDefault="00000000" w:rsidP="002B61DF">
      <w:pPr>
        <w:spacing w:after="120" w:line="360" w:lineRule="auto"/>
        <w:jc w:val="center"/>
        <w:rPr>
          <w:rFonts w:cs="Arial"/>
          <w:szCs w:val="24"/>
        </w:rPr>
      </w:pPr>
      <w:r w:rsidRPr="002B61DF">
        <w:rPr>
          <w:rFonts w:cs="Arial"/>
          <w:i/>
          <w:szCs w:val="24"/>
        </w:rPr>
        <w:t xml:space="preserve">Source: calculated from </w:t>
      </w:r>
      <w:proofErr w:type="spellStart"/>
      <w:r w:rsidRPr="002B61DF">
        <w:rPr>
          <w:rFonts w:cs="Arial"/>
          <w:i/>
          <w:szCs w:val="24"/>
        </w:rPr>
        <w:t>Digrin</w:t>
      </w:r>
      <w:proofErr w:type="spellEnd"/>
      <w:r w:rsidRPr="002B61DF">
        <w:rPr>
          <w:rFonts w:cs="Arial"/>
          <w:i/>
          <w:szCs w:val="24"/>
        </w:rPr>
        <w:t xml:space="preserve"> (2026a, 2026b).</w:t>
      </w:r>
    </w:p>
    <w:p w14:paraId="5CCCFA14" w14:textId="77777777" w:rsidR="003620E3" w:rsidRPr="002B61DF" w:rsidRDefault="003620E3" w:rsidP="002B61DF">
      <w:pPr>
        <w:spacing w:after="160" w:line="360" w:lineRule="auto"/>
        <w:jc w:val="both"/>
        <w:rPr>
          <w:rFonts w:cs="Arial"/>
        </w:rPr>
      </w:pPr>
      <w:r w:rsidRPr="002B61DF">
        <w:rPr>
          <w:rFonts w:cs="Arial"/>
        </w:rPr>
        <w:lastRenderedPageBreak/>
        <w:t>Expected returns are statistically calculated and not just based on past returns. The model is a hybrid approach since the CAPM model accounts for systematic market risk and dividend-growth and recovery assumptions account for stock-specific fundamentals. The CAPM part is E(Ri) = Rf + β</w:t>
      </w:r>
      <w:proofErr w:type="spellStart"/>
      <w:r w:rsidRPr="002B61DF">
        <w:rPr>
          <w:rFonts w:cs="Arial"/>
        </w:rPr>
        <w:t>i</w:t>
      </w:r>
      <w:proofErr w:type="spellEnd"/>
      <w:r w:rsidRPr="002B61DF">
        <w:rPr>
          <w:rFonts w:cs="Arial"/>
        </w:rPr>
        <w:t>[E(Rm) - Rf] which was calculated in the following manner: Per cent risk free rate = 3.60, per cent equity risk premium = 6.00. The basic unit is based on dividend yield, sustainable earnings growth and a judicious valuation recovery allowance. Fundamental return is 60 per cent and CAPM is 40 per cent of the final input. This weighting may be warranted because both firms have catalysts which are unique to their respective companies and that this is not fully reflected in their market beta; nevertheless, CAPM does punish them for excessive optimism by Sharpe (1964) and by Damodaran (2025).</w:t>
      </w:r>
    </w:p>
    <w:p w14:paraId="3EA2C854" w14:textId="77777777" w:rsidR="003620E3" w:rsidRPr="002B61DF" w:rsidRDefault="003620E3" w:rsidP="002B61DF">
      <w:pPr>
        <w:spacing w:after="160" w:line="360" w:lineRule="auto"/>
        <w:jc w:val="both"/>
        <w:rPr>
          <w:rFonts w:cs="Arial"/>
        </w:rPr>
      </w:pPr>
      <w:r w:rsidRPr="002B61DF">
        <w:rPr>
          <w:rFonts w:cs="Arial"/>
        </w:rPr>
        <w:t xml:space="preserve">The blended model for ANZ is 10.50 per cent: 40 per cent of the CAPM estimate of the return of 8.10 per cent, and 60 per cent of the dividend-growth and restructuring return of 12.10 per cent. The model produces 40 per cent of the estimated CAPM return of 7.20 per cent, and 60 per cent of the CAPM estimate of the fundamental return of 15.20 per cent, for CSL, totaling 12.00 per cent. CSL's expected return is superior to ANZ's because the share price has priced in significant negative news whilst ANZ has considerable upside potential for recovery should the guidance </w:t>
      </w:r>
      <w:proofErr w:type="spellStart"/>
      <w:r w:rsidRPr="002B61DF">
        <w:rPr>
          <w:rFonts w:cs="Arial"/>
        </w:rPr>
        <w:t>stabilise</w:t>
      </w:r>
      <w:proofErr w:type="spellEnd"/>
      <w:r w:rsidRPr="002B61DF">
        <w:rPr>
          <w:rFonts w:cs="Arial"/>
        </w:rPr>
        <w:t>, albeit with a lower weighting due to the significantly higher volatility/ downgrade risk of the share.</w:t>
      </w:r>
    </w:p>
    <w:p w14:paraId="03CC9FFE" w14:textId="05EC0A0C" w:rsidR="00EF1BF3" w:rsidRPr="002B61DF" w:rsidRDefault="003620E3" w:rsidP="002B61DF">
      <w:pPr>
        <w:spacing w:after="160" w:line="360" w:lineRule="auto"/>
        <w:jc w:val="both"/>
        <w:rPr>
          <w:rFonts w:cs="Arial"/>
        </w:rPr>
      </w:pPr>
      <w:r w:rsidRPr="002B61DF">
        <w:rPr>
          <w:rFonts w:cs="Arial"/>
        </w:rPr>
        <w:t xml:space="preserve">The expected-return inputs are thus not necessarily optimistic, but forward-looking. As the </w:t>
      </w:r>
      <w:proofErr w:type="spellStart"/>
      <w:r w:rsidRPr="002B61DF">
        <w:rPr>
          <w:rFonts w:cs="Arial"/>
        </w:rPr>
        <w:t>realised</w:t>
      </w:r>
      <w:proofErr w:type="spellEnd"/>
      <w:r w:rsidRPr="002B61DF">
        <w:rPr>
          <w:rFonts w:cs="Arial"/>
        </w:rPr>
        <w:t xml:space="preserve"> return in 2025 is quite high, ANZ's forecast is lower due to the lack of price momentum from history. The forecast by CSL is much lower than a full recovery as it assumes only a partial recovery. Academic reliability is important: the portfolio is not chosen by picking the one with the best historical performance, but rather by using a combination of the historical risk data and a clear forward valuation model.</w:t>
      </w:r>
    </w:p>
    <w:tbl>
      <w:tblPr>
        <w:tblStyle w:val="TableGrid"/>
        <w:tblW w:w="0" w:type="auto"/>
        <w:jc w:val="center"/>
        <w:tblLook w:val="04A0" w:firstRow="1" w:lastRow="0" w:firstColumn="1" w:lastColumn="0" w:noHBand="0" w:noVBand="1"/>
      </w:tblPr>
      <w:tblGrid>
        <w:gridCol w:w="2351"/>
        <w:gridCol w:w="2351"/>
        <w:gridCol w:w="2351"/>
        <w:gridCol w:w="2351"/>
      </w:tblGrid>
      <w:tr w:rsidR="00475888" w:rsidRPr="002B61DF" w14:paraId="3EA744A6" w14:textId="77777777">
        <w:trPr>
          <w:jc w:val="center"/>
        </w:trPr>
        <w:tc>
          <w:tcPr>
            <w:tcW w:w="2351" w:type="dxa"/>
            <w:shd w:val="clear" w:color="auto" w:fill="D9EAF7"/>
            <w:vAlign w:val="center"/>
          </w:tcPr>
          <w:p w14:paraId="5F52A903" w14:textId="77777777" w:rsidR="00475888" w:rsidRPr="002B61DF" w:rsidRDefault="00000000" w:rsidP="002B61DF">
            <w:pPr>
              <w:spacing w:line="360" w:lineRule="auto"/>
              <w:jc w:val="center"/>
              <w:rPr>
                <w:rFonts w:cs="Arial"/>
                <w:szCs w:val="24"/>
              </w:rPr>
            </w:pPr>
            <w:r w:rsidRPr="002B61DF">
              <w:rPr>
                <w:rFonts w:cs="Arial"/>
                <w:b/>
                <w:szCs w:val="24"/>
              </w:rPr>
              <w:t>Security</w:t>
            </w:r>
          </w:p>
        </w:tc>
        <w:tc>
          <w:tcPr>
            <w:tcW w:w="2351" w:type="dxa"/>
            <w:shd w:val="clear" w:color="auto" w:fill="D9EAF7"/>
            <w:vAlign w:val="center"/>
          </w:tcPr>
          <w:p w14:paraId="012AB4B5" w14:textId="77777777" w:rsidR="00475888" w:rsidRPr="002B61DF" w:rsidRDefault="00000000" w:rsidP="002B61DF">
            <w:pPr>
              <w:spacing w:line="360" w:lineRule="auto"/>
              <w:jc w:val="center"/>
              <w:rPr>
                <w:rFonts w:cs="Arial"/>
                <w:szCs w:val="24"/>
              </w:rPr>
            </w:pPr>
            <w:r w:rsidRPr="002B61DF">
              <w:rPr>
                <w:rFonts w:cs="Arial"/>
                <w:b/>
                <w:szCs w:val="24"/>
              </w:rPr>
              <w:t>CAPM component</w:t>
            </w:r>
          </w:p>
        </w:tc>
        <w:tc>
          <w:tcPr>
            <w:tcW w:w="2351" w:type="dxa"/>
            <w:shd w:val="clear" w:color="auto" w:fill="D9EAF7"/>
            <w:vAlign w:val="center"/>
          </w:tcPr>
          <w:p w14:paraId="5E633B59" w14:textId="77777777" w:rsidR="00475888" w:rsidRPr="002B61DF" w:rsidRDefault="00000000" w:rsidP="002B61DF">
            <w:pPr>
              <w:spacing w:line="360" w:lineRule="auto"/>
              <w:jc w:val="center"/>
              <w:rPr>
                <w:rFonts w:cs="Arial"/>
                <w:szCs w:val="24"/>
              </w:rPr>
            </w:pPr>
            <w:r w:rsidRPr="002B61DF">
              <w:rPr>
                <w:rFonts w:cs="Arial"/>
                <w:b/>
                <w:szCs w:val="24"/>
              </w:rPr>
              <w:t>Fundamental component</w:t>
            </w:r>
          </w:p>
        </w:tc>
        <w:tc>
          <w:tcPr>
            <w:tcW w:w="2351" w:type="dxa"/>
            <w:shd w:val="clear" w:color="auto" w:fill="D9EAF7"/>
            <w:vAlign w:val="center"/>
          </w:tcPr>
          <w:p w14:paraId="1FE8BCFF" w14:textId="77777777" w:rsidR="00475888" w:rsidRPr="002B61DF" w:rsidRDefault="00000000" w:rsidP="002B61DF">
            <w:pPr>
              <w:spacing w:line="360" w:lineRule="auto"/>
              <w:jc w:val="center"/>
              <w:rPr>
                <w:rFonts w:cs="Arial"/>
                <w:szCs w:val="24"/>
              </w:rPr>
            </w:pPr>
            <w:r w:rsidRPr="002B61DF">
              <w:rPr>
                <w:rFonts w:cs="Arial"/>
                <w:b/>
                <w:szCs w:val="24"/>
              </w:rPr>
              <w:t>Blended expected return</w:t>
            </w:r>
          </w:p>
        </w:tc>
      </w:tr>
      <w:tr w:rsidR="00475888" w:rsidRPr="002B61DF" w14:paraId="2C1B0DB4" w14:textId="77777777">
        <w:trPr>
          <w:jc w:val="center"/>
        </w:trPr>
        <w:tc>
          <w:tcPr>
            <w:tcW w:w="2351" w:type="dxa"/>
            <w:vAlign w:val="center"/>
          </w:tcPr>
          <w:p w14:paraId="32016F1E" w14:textId="77777777" w:rsidR="00475888" w:rsidRPr="002B61DF" w:rsidRDefault="00000000" w:rsidP="002B61DF">
            <w:pPr>
              <w:spacing w:line="360" w:lineRule="auto"/>
              <w:rPr>
                <w:rFonts w:cs="Arial"/>
                <w:szCs w:val="24"/>
              </w:rPr>
            </w:pPr>
            <w:r w:rsidRPr="002B61DF">
              <w:rPr>
                <w:rFonts w:cs="Arial"/>
                <w:szCs w:val="24"/>
              </w:rPr>
              <w:t>ANZ</w:t>
            </w:r>
          </w:p>
        </w:tc>
        <w:tc>
          <w:tcPr>
            <w:tcW w:w="2351" w:type="dxa"/>
            <w:vAlign w:val="center"/>
          </w:tcPr>
          <w:p w14:paraId="7C10B16E" w14:textId="77777777" w:rsidR="00475888" w:rsidRPr="002B61DF" w:rsidRDefault="00000000" w:rsidP="002B61DF">
            <w:pPr>
              <w:spacing w:line="360" w:lineRule="auto"/>
              <w:rPr>
                <w:rFonts w:cs="Arial"/>
                <w:szCs w:val="24"/>
              </w:rPr>
            </w:pPr>
            <w:r w:rsidRPr="002B61DF">
              <w:rPr>
                <w:rFonts w:cs="Arial"/>
                <w:szCs w:val="24"/>
              </w:rPr>
              <w:t>Rf 3.60% + βadj 0.75 x ERP 6.00% = 8.10%</w:t>
            </w:r>
          </w:p>
        </w:tc>
        <w:tc>
          <w:tcPr>
            <w:tcW w:w="2351" w:type="dxa"/>
            <w:vAlign w:val="center"/>
          </w:tcPr>
          <w:p w14:paraId="2773B981" w14:textId="77777777" w:rsidR="00475888" w:rsidRPr="002B61DF" w:rsidRDefault="00000000" w:rsidP="002B61DF">
            <w:pPr>
              <w:spacing w:line="360" w:lineRule="auto"/>
              <w:rPr>
                <w:rFonts w:cs="Arial"/>
                <w:szCs w:val="24"/>
              </w:rPr>
            </w:pPr>
            <w:r w:rsidRPr="002B61DF">
              <w:rPr>
                <w:rFonts w:cs="Arial"/>
                <w:szCs w:val="24"/>
              </w:rPr>
              <w:t xml:space="preserve">Dividend yield, sustainable growth and </w:t>
            </w:r>
            <w:r w:rsidRPr="002B61DF">
              <w:rPr>
                <w:rFonts w:cs="Arial"/>
                <w:szCs w:val="24"/>
              </w:rPr>
              <w:lastRenderedPageBreak/>
              <w:t>restructuring/re-rating return = 12.10%</w:t>
            </w:r>
          </w:p>
        </w:tc>
        <w:tc>
          <w:tcPr>
            <w:tcW w:w="2351" w:type="dxa"/>
            <w:vAlign w:val="center"/>
          </w:tcPr>
          <w:p w14:paraId="1DA05CF6" w14:textId="77777777" w:rsidR="00475888" w:rsidRPr="002B61DF" w:rsidRDefault="00000000" w:rsidP="002B61DF">
            <w:pPr>
              <w:spacing w:line="360" w:lineRule="auto"/>
              <w:rPr>
                <w:rFonts w:cs="Arial"/>
                <w:szCs w:val="24"/>
              </w:rPr>
            </w:pPr>
            <w:r w:rsidRPr="002B61DF">
              <w:rPr>
                <w:rFonts w:cs="Arial"/>
                <w:szCs w:val="24"/>
              </w:rPr>
              <w:lastRenderedPageBreak/>
              <w:t>0.40(8.10%) + 0.60(12.10%) = 10.50%</w:t>
            </w:r>
          </w:p>
        </w:tc>
      </w:tr>
      <w:tr w:rsidR="00475888" w:rsidRPr="002B61DF" w14:paraId="58B776EC" w14:textId="77777777">
        <w:trPr>
          <w:jc w:val="center"/>
        </w:trPr>
        <w:tc>
          <w:tcPr>
            <w:tcW w:w="2351" w:type="dxa"/>
            <w:vAlign w:val="center"/>
          </w:tcPr>
          <w:p w14:paraId="24E97F0B" w14:textId="77777777" w:rsidR="00475888" w:rsidRPr="002B61DF" w:rsidRDefault="00000000" w:rsidP="002B61DF">
            <w:pPr>
              <w:spacing w:line="360" w:lineRule="auto"/>
              <w:rPr>
                <w:rFonts w:cs="Arial"/>
                <w:szCs w:val="24"/>
              </w:rPr>
            </w:pPr>
            <w:r w:rsidRPr="002B61DF">
              <w:rPr>
                <w:rFonts w:cs="Arial"/>
                <w:szCs w:val="24"/>
              </w:rPr>
              <w:t>CSL</w:t>
            </w:r>
          </w:p>
        </w:tc>
        <w:tc>
          <w:tcPr>
            <w:tcW w:w="2351" w:type="dxa"/>
            <w:vAlign w:val="center"/>
          </w:tcPr>
          <w:p w14:paraId="2CBB9BDE" w14:textId="77777777" w:rsidR="00475888" w:rsidRPr="002B61DF" w:rsidRDefault="00000000" w:rsidP="002B61DF">
            <w:pPr>
              <w:spacing w:line="360" w:lineRule="auto"/>
              <w:rPr>
                <w:rFonts w:cs="Arial"/>
                <w:szCs w:val="24"/>
              </w:rPr>
            </w:pPr>
            <w:r w:rsidRPr="002B61DF">
              <w:rPr>
                <w:rFonts w:cs="Arial"/>
                <w:szCs w:val="24"/>
              </w:rPr>
              <w:t>Rf 3.60% + βadj 0.60 x ERP 6.00% = 7.20%</w:t>
            </w:r>
          </w:p>
        </w:tc>
        <w:tc>
          <w:tcPr>
            <w:tcW w:w="2351" w:type="dxa"/>
            <w:vAlign w:val="center"/>
          </w:tcPr>
          <w:p w14:paraId="34576971" w14:textId="77777777" w:rsidR="00475888" w:rsidRPr="002B61DF" w:rsidRDefault="00000000" w:rsidP="002B61DF">
            <w:pPr>
              <w:spacing w:line="360" w:lineRule="auto"/>
              <w:rPr>
                <w:rFonts w:cs="Arial"/>
                <w:szCs w:val="24"/>
              </w:rPr>
            </w:pPr>
            <w:r w:rsidRPr="002B61DF">
              <w:rPr>
                <w:rFonts w:cs="Arial"/>
                <w:szCs w:val="24"/>
              </w:rPr>
              <w:t xml:space="preserve">Dividend yield, </w:t>
            </w:r>
            <w:proofErr w:type="spellStart"/>
            <w:r w:rsidRPr="002B61DF">
              <w:rPr>
                <w:rFonts w:cs="Arial"/>
                <w:szCs w:val="24"/>
              </w:rPr>
              <w:t>normalised</w:t>
            </w:r>
            <w:proofErr w:type="spellEnd"/>
            <w:r w:rsidRPr="002B61DF">
              <w:rPr>
                <w:rFonts w:cs="Arial"/>
                <w:szCs w:val="24"/>
              </w:rPr>
              <w:t xml:space="preserve"> earnings growth and recovery allowance = 15.20%</w:t>
            </w:r>
          </w:p>
        </w:tc>
        <w:tc>
          <w:tcPr>
            <w:tcW w:w="2351" w:type="dxa"/>
            <w:vAlign w:val="center"/>
          </w:tcPr>
          <w:p w14:paraId="1874ED11" w14:textId="77777777" w:rsidR="00475888" w:rsidRPr="002B61DF" w:rsidRDefault="00000000" w:rsidP="002B61DF">
            <w:pPr>
              <w:keepNext/>
              <w:spacing w:line="360" w:lineRule="auto"/>
              <w:rPr>
                <w:rFonts w:cs="Arial"/>
                <w:szCs w:val="24"/>
              </w:rPr>
            </w:pPr>
            <w:r w:rsidRPr="002B61DF">
              <w:rPr>
                <w:rFonts w:cs="Arial"/>
                <w:szCs w:val="24"/>
              </w:rPr>
              <w:t>0.40(7.20%) + 0.60(15.20%) = 12.00%</w:t>
            </w:r>
          </w:p>
        </w:tc>
      </w:tr>
    </w:tbl>
    <w:p w14:paraId="61281C20" w14:textId="28096F2A" w:rsidR="007B2E45" w:rsidRPr="002B61DF" w:rsidRDefault="007B2E45" w:rsidP="002B61DF">
      <w:pPr>
        <w:pStyle w:val="Caption"/>
        <w:spacing w:line="360" w:lineRule="auto"/>
        <w:rPr>
          <w:rFonts w:cs="Arial"/>
        </w:rPr>
      </w:pPr>
      <w:bookmarkStart w:id="7" w:name="_Toc229524451"/>
      <w:r w:rsidRPr="002B61DF">
        <w:rPr>
          <w:rFonts w:cs="Arial"/>
        </w:rPr>
        <w:t xml:space="preserve">Table </w:t>
      </w:r>
      <w:r w:rsidRPr="002B61DF">
        <w:rPr>
          <w:rFonts w:cs="Arial"/>
        </w:rPr>
        <w:fldChar w:fldCharType="begin"/>
      </w:r>
      <w:r w:rsidRPr="002B61DF">
        <w:rPr>
          <w:rFonts w:cs="Arial"/>
        </w:rPr>
        <w:instrText xml:space="preserve"> SEQ Table \* ARABIC </w:instrText>
      </w:r>
      <w:r w:rsidRPr="002B61DF">
        <w:rPr>
          <w:rFonts w:cs="Arial"/>
        </w:rPr>
        <w:fldChar w:fldCharType="separate"/>
      </w:r>
      <w:r w:rsidRPr="002B61DF">
        <w:rPr>
          <w:rFonts w:cs="Arial"/>
          <w:noProof/>
        </w:rPr>
        <w:t>2</w:t>
      </w:r>
      <w:r w:rsidRPr="002B61DF">
        <w:rPr>
          <w:rFonts w:cs="Arial"/>
        </w:rPr>
        <w:fldChar w:fldCharType="end"/>
      </w:r>
      <w:r w:rsidRPr="002B61DF">
        <w:rPr>
          <w:rFonts w:cs="Arial"/>
        </w:rPr>
        <w:t xml:space="preserve"> Formal expected return derivation</w:t>
      </w:r>
      <w:bookmarkEnd w:id="7"/>
    </w:p>
    <w:p w14:paraId="115A1C18" w14:textId="4A817F21" w:rsidR="00475888" w:rsidRPr="002B61DF" w:rsidRDefault="00000000" w:rsidP="002B61DF">
      <w:pPr>
        <w:spacing w:after="120" w:line="360" w:lineRule="auto"/>
        <w:jc w:val="center"/>
        <w:rPr>
          <w:rFonts w:cs="Arial"/>
          <w:szCs w:val="24"/>
        </w:rPr>
      </w:pPr>
      <w:r w:rsidRPr="002B61DF">
        <w:rPr>
          <w:rFonts w:cs="Arial"/>
          <w:i/>
          <w:szCs w:val="24"/>
        </w:rPr>
        <w:t>Source: author calculations using CAPM, dividend-growth and recovery assumptions.</w:t>
      </w:r>
    </w:p>
    <w:p w14:paraId="48F48ED3" w14:textId="77777777" w:rsidR="00475888" w:rsidRPr="002B61DF" w:rsidRDefault="00000000" w:rsidP="002B61DF">
      <w:pPr>
        <w:pStyle w:val="Heading1"/>
      </w:pPr>
      <w:bookmarkStart w:id="8" w:name="_Toc229524583"/>
      <w:r w:rsidRPr="002B61DF">
        <w:t>Portfolio construction and optimal allocation</w:t>
      </w:r>
      <w:bookmarkEnd w:id="8"/>
    </w:p>
    <w:p w14:paraId="691800C7" w14:textId="1AC45124" w:rsidR="00475888" w:rsidRPr="002B61DF" w:rsidRDefault="003620E3" w:rsidP="002B61DF">
      <w:pPr>
        <w:spacing w:after="160" w:line="360" w:lineRule="auto"/>
        <w:jc w:val="both"/>
        <w:rPr>
          <w:rFonts w:cs="Arial"/>
        </w:rPr>
      </w:pPr>
      <w:r w:rsidRPr="002B61DF">
        <w:rPr>
          <w:rFonts w:cs="Arial"/>
        </w:rPr>
        <w:t xml:space="preserve">The portfolio is built based on the expected return, variance, standard deviation, a Sharpe style reward risk ratio and investor utility. E(Rp) = </w:t>
      </w:r>
      <w:proofErr w:type="spellStart"/>
      <w:r w:rsidRPr="002B61DF">
        <w:rPr>
          <w:rFonts w:cs="Arial"/>
        </w:rPr>
        <w:t>wANZRANZ</w:t>
      </w:r>
      <w:proofErr w:type="spellEnd"/>
      <w:r w:rsidRPr="002B61DF">
        <w:rPr>
          <w:rFonts w:cs="Arial"/>
        </w:rPr>
        <w:t xml:space="preserve"> + </w:t>
      </w:r>
      <w:proofErr w:type="spellStart"/>
      <w:r w:rsidRPr="002B61DF">
        <w:rPr>
          <w:rFonts w:cs="Arial"/>
        </w:rPr>
        <w:t>wCSLRCSL</w:t>
      </w:r>
      <w:proofErr w:type="spellEnd"/>
      <w:r w:rsidRPr="002B61DF">
        <w:rPr>
          <w:rFonts w:cs="Arial"/>
        </w:rPr>
        <w:t>; for each portfolio. The variance of the random variable X is: σp2 = wANZ2σANZ2 + wCSL2σCSL2 + 2wANZwCSLρ</w:t>
      </w:r>
      <w:proofErr w:type="gramStart"/>
      <w:r w:rsidRPr="002B61DF">
        <w:rPr>
          <w:rFonts w:cs="Arial"/>
        </w:rPr>
        <w:t>ANZ,CSL</w:t>
      </w:r>
      <w:proofErr w:type="gramEnd"/>
      <w:r w:rsidRPr="002B61DF">
        <w:rPr>
          <w:rFonts w:cs="Arial"/>
        </w:rPr>
        <w:t xml:space="preserve">σANZσCSL. Reward-risk is (E(Rp) - Rf) / </w:t>
      </w:r>
      <w:proofErr w:type="spellStart"/>
      <w:r w:rsidRPr="002B61DF">
        <w:rPr>
          <w:rFonts w:cs="Arial"/>
        </w:rPr>
        <w:t>σp</w:t>
      </w:r>
      <w:proofErr w:type="spellEnd"/>
      <w:r w:rsidRPr="002B61DF">
        <w:rPr>
          <w:rFonts w:cs="Arial"/>
        </w:rPr>
        <w:t xml:space="preserve">. Utility is U = E(Rp) - 0.5Aσp², with A = 4. The </w:t>
      </w:r>
      <w:proofErr w:type="gramStart"/>
      <w:r w:rsidRPr="002B61DF">
        <w:rPr>
          <w:rFonts w:cs="Arial"/>
        </w:rPr>
        <w:t>risk free</w:t>
      </w:r>
      <w:proofErr w:type="gramEnd"/>
      <w:r w:rsidRPr="002B61DF">
        <w:rPr>
          <w:rFonts w:cs="Arial"/>
        </w:rPr>
        <w:t xml:space="preserve"> rate is the RBA cash rate of 3.60 per cent.</w:t>
      </w:r>
      <w:r w:rsidR="00EF1BF3" w:rsidRPr="002B61DF">
        <w:rPr>
          <w:rFonts w:cs="Arial"/>
        </w:rPr>
        <w:br/>
      </w:r>
    </w:p>
    <w:p w14:paraId="1B7C6292" w14:textId="46179265" w:rsidR="007B2E45" w:rsidRPr="002B61DF" w:rsidRDefault="007B2E45" w:rsidP="002B61DF">
      <w:pPr>
        <w:pStyle w:val="Caption"/>
        <w:keepNext/>
        <w:spacing w:line="360" w:lineRule="auto"/>
        <w:rPr>
          <w:rFonts w:cs="Arial"/>
        </w:rPr>
      </w:pPr>
      <w:bookmarkStart w:id="9" w:name="_Toc229524452"/>
      <w:r w:rsidRPr="002B61DF">
        <w:rPr>
          <w:rFonts w:cs="Arial"/>
        </w:rPr>
        <w:t xml:space="preserve">Table </w:t>
      </w:r>
      <w:r w:rsidRPr="002B61DF">
        <w:rPr>
          <w:rFonts w:cs="Arial"/>
        </w:rPr>
        <w:fldChar w:fldCharType="begin"/>
      </w:r>
      <w:r w:rsidRPr="002B61DF">
        <w:rPr>
          <w:rFonts w:cs="Arial"/>
        </w:rPr>
        <w:instrText xml:space="preserve"> SEQ Table \* ARABIC </w:instrText>
      </w:r>
      <w:r w:rsidRPr="002B61DF">
        <w:rPr>
          <w:rFonts w:cs="Arial"/>
        </w:rPr>
        <w:fldChar w:fldCharType="separate"/>
      </w:r>
      <w:r w:rsidRPr="002B61DF">
        <w:rPr>
          <w:rFonts w:cs="Arial"/>
          <w:noProof/>
        </w:rPr>
        <w:t>3</w:t>
      </w:r>
      <w:r w:rsidRPr="002B61DF">
        <w:rPr>
          <w:rFonts w:cs="Arial"/>
        </w:rPr>
        <w:fldChar w:fldCharType="end"/>
      </w:r>
      <w:r w:rsidRPr="002B61DF">
        <w:rPr>
          <w:rFonts w:cs="Arial"/>
        </w:rPr>
        <w:t xml:space="preserve"> Portfolio alternatives and utility calculations</w:t>
      </w:r>
      <w:bookmarkEnd w:id="9"/>
    </w:p>
    <w:tbl>
      <w:tblPr>
        <w:tblStyle w:val="TableGrid"/>
        <w:tblW w:w="0" w:type="auto"/>
        <w:jc w:val="center"/>
        <w:tblLook w:val="04A0" w:firstRow="1" w:lastRow="0" w:firstColumn="1" w:lastColumn="0" w:noHBand="0" w:noVBand="1"/>
      </w:tblPr>
      <w:tblGrid>
        <w:gridCol w:w="1881"/>
        <w:gridCol w:w="1881"/>
        <w:gridCol w:w="1881"/>
        <w:gridCol w:w="1881"/>
        <w:gridCol w:w="1881"/>
      </w:tblGrid>
      <w:tr w:rsidR="00475888" w:rsidRPr="002B61DF" w14:paraId="6E937648" w14:textId="77777777">
        <w:trPr>
          <w:jc w:val="center"/>
        </w:trPr>
        <w:tc>
          <w:tcPr>
            <w:tcW w:w="1881" w:type="dxa"/>
            <w:shd w:val="clear" w:color="auto" w:fill="D9EAF7"/>
            <w:vAlign w:val="center"/>
          </w:tcPr>
          <w:p w14:paraId="58E2C11C" w14:textId="77777777" w:rsidR="00475888" w:rsidRPr="002B61DF" w:rsidRDefault="00000000" w:rsidP="002B61DF">
            <w:pPr>
              <w:spacing w:line="360" w:lineRule="auto"/>
              <w:jc w:val="center"/>
              <w:rPr>
                <w:rFonts w:cs="Arial"/>
                <w:szCs w:val="24"/>
              </w:rPr>
            </w:pPr>
            <w:r w:rsidRPr="002B61DF">
              <w:rPr>
                <w:rFonts w:cs="Arial"/>
                <w:b/>
                <w:szCs w:val="24"/>
              </w:rPr>
              <w:t>ANZ / CSL weight</w:t>
            </w:r>
          </w:p>
        </w:tc>
        <w:tc>
          <w:tcPr>
            <w:tcW w:w="1881" w:type="dxa"/>
            <w:shd w:val="clear" w:color="auto" w:fill="D9EAF7"/>
            <w:vAlign w:val="center"/>
          </w:tcPr>
          <w:p w14:paraId="0E1741D1" w14:textId="77777777" w:rsidR="00475888" w:rsidRPr="002B61DF" w:rsidRDefault="00000000" w:rsidP="002B61DF">
            <w:pPr>
              <w:spacing w:line="360" w:lineRule="auto"/>
              <w:jc w:val="center"/>
              <w:rPr>
                <w:rFonts w:cs="Arial"/>
                <w:szCs w:val="24"/>
              </w:rPr>
            </w:pPr>
            <w:r w:rsidRPr="002B61DF">
              <w:rPr>
                <w:rFonts w:cs="Arial"/>
                <w:b/>
                <w:szCs w:val="24"/>
              </w:rPr>
              <w:t>E(Rp)</w:t>
            </w:r>
          </w:p>
        </w:tc>
        <w:tc>
          <w:tcPr>
            <w:tcW w:w="1881" w:type="dxa"/>
            <w:shd w:val="clear" w:color="auto" w:fill="D9EAF7"/>
            <w:vAlign w:val="center"/>
          </w:tcPr>
          <w:p w14:paraId="2D449EF5" w14:textId="77777777" w:rsidR="00475888" w:rsidRPr="002B61DF" w:rsidRDefault="00000000" w:rsidP="002B61DF">
            <w:pPr>
              <w:spacing w:line="360" w:lineRule="auto"/>
              <w:jc w:val="center"/>
              <w:rPr>
                <w:rFonts w:cs="Arial"/>
                <w:szCs w:val="24"/>
              </w:rPr>
            </w:pPr>
            <w:proofErr w:type="spellStart"/>
            <w:r w:rsidRPr="002B61DF">
              <w:rPr>
                <w:rFonts w:cs="Arial"/>
                <w:b/>
                <w:szCs w:val="24"/>
              </w:rPr>
              <w:t>σp</w:t>
            </w:r>
            <w:proofErr w:type="spellEnd"/>
          </w:p>
        </w:tc>
        <w:tc>
          <w:tcPr>
            <w:tcW w:w="1881" w:type="dxa"/>
            <w:shd w:val="clear" w:color="auto" w:fill="D9EAF7"/>
            <w:vAlign w:val="center"/>
          </w:tcPr>
          <w:p w14:paraId="3C92E10A" w14:textId="77777777" w:rsidR="00475888" w:rsidRPr="002B61DF" w:rsidRDefault="00000000" w:rsidP="002B61DF">
            <w:pPr>
              <w:spacing w:line="360" w:lineRule="auto"/>
              <w:jc w:val="center"/>
              <w:rPr>
                <w:rFonts w:cs="Arial"/>
                <w:szCs w:val="24"/>
              </w:rPr>
            </w:pPr>
            <w:r w:rsidRPr="002B61DF">
              <w:rPr>
                <w:rFonts w:cs="Arial"/>
                <w:b/>
                <w:szCs w:val="24"/>
              </w:rPr>
              <w:t>Reward-risk</w:t>
            </w:r>
          </w:p>
        </w:tc>
        <w:tc>
          <w:tcPr>
            <w:tcW w:w="1881" w:type="dxa"/>
            <w:shd w:val="clear" w:color="auto" w:fill="D9EAF7"/>
            <w:vAlign w:val="center"/>
          </w:tcPr>
          <w:p w14:paraId="69D013C6" w14:textId="77777777" w:rsidR="00475888" w:rsidRPr="002B61DF" w:rsidRDefault="00000000" w:rsidP="002B61DF">
            <w:pPr>
              <w:spacing w:line="360" w:lineRule="auto"/>
              <w:jc w:val="center"/>
              <w:rPr>
                <w:rFonts w:cs="Arial"/>
                <w:szCs w:val="24"/>
              </w:rPr>
            </w:pPr>
            <w:r w:rsidRPr="002B61DF">
              <w:rPr>
                <w:rFonts w:cs="Arial"/>
                <w:b/>
                <w:szCs w:val="24"/>
              </w:rPr>
              <w:t>Utility</w:t>
            </w:r>
          </w:p>
        </w:tc>
      </w:tr>
      <w:tr w:rsidR="00475888" w:rsidRPr="002B61DF" w14:paraId="54DDE278" w14:textId="77777777">
        <w:trPr>
          <w:jc w:val="center"/>
        </w:trPr>
        <w:tc>
          <w:tcPr>
            <w:tcW w:w="1881" w:type="dxa"/>
            <w:vAlign w:val="center"/>
          </w:tcPr>
          <w:p w14:paraId="2A2DA2D1" w14:textId="77777777" w:rsidR="00475888" w:rsidRPr="002B61DF" w:rsidRDefault="00000000" w:rsidP="002B61DF">
            <w:pPr>
              <w:spacing w:line="360" w:lineRule="auto"/>
              <w:rPr>
                <w:rFonts w:cs="Arial"/>
                <w:szCs w:val="24"/>
              </w:rPr>
            </w:pPr>
            <w:r w:rsidRPr="002B61DF">
              <w:rPr>
                <w:rFonts w:cs="Arial"/>
                <w:szCs w:val="24"/>
              </w:rPr>
              <w:t>0% / 100%</w:t>
            </w:r>
          </w:p>
        </w:tc>
        <w:tc>
          <w:tcPr>
            <w:tcW w:w="1881" w:type="dxa"/>
            <w:vAlign w:val="center"/>
          </w:tcPr>
          <w:p w14:paraId="33CBECBD" w14:textId="77777777" w:rsidR="00475888" w:rsidRPr="002B61DF" w:rsidRDefault="00000000" w:rsidP="002B61DF">
            <w:pPr>
              <w:spacing w:line="360" w:lineRule="auto"/>
              <w:rPr>
                <w:rFonts w:cs="Arial"/>
                <w:szCs w:val="24"/>
              </w:rPr>
            </w:pPr>
            <w:r w:rsidRPr="002B61DF">
              <w:rPr>
                <w:rFonts w:cs="Arial"/>
                <w:szCs w:val="24"/>
              </w:rPr>
              <w:t>12.00%</w:t>
            </w:r>
          </w:p>
        </w:tc>
        <w:tc>
          <w:tcPr>
            <w:tcW w:w="1881" w:type="dxa"/>
            <w:vAlign w:val="center"/>
          </w:tcPr>
          <w:p w14:paraId="3145ED12" w14:textId="77777777" w:rsidR="00475888" w:rsidRPr="002B61DF" w:rsidRDefault="00000000" w:rsidP="002B61DF">
            <w:pPr>
              <w:spacing w:line="360" w:lineRule="auto"/>
              <w:rPr>
                <w:rFonts w:cs="Arial"/>
                <w:szCs w:val="24"/>
              </w:rPr>
            </w:pPr>
            <w:r w:rsidRPr="002B61DF">
              <w:rPr>
                <w:rFonts w:cs="Arial"/>
                <w:szCs w:val="24"/>
              </w:rPr>
              <w:t>22.91%</w:t>
            </w:r>
          </w:p>
        </w:tc>
        <w:tc>
          <w:tcPr>
            <w:tcW w:w="1881" w:type="dxa"/>
            <w:vAlign w:val="center"/>
          </w:tcPr>
          <w:p w14:paraId="62A4A048" w14:textId="77777777" w:rsidR="00475888" w:rsidRPr="002B61DF" w:rsidRDefault="00000000" w:rsidP="002B61DF">
            <w:pPr>
              <w:spacing w:line="360" w:lineRule="auto"/>
              <w:rPr>
                <w:rFonts w:cs="Arial"/>
                <w:szCs w:val="24"/>
              </w:rPr>
            </w:pPr>
            <w:r w:rsidRPr="002B61DF">
              <w:rPr>
                <w:rFonts w:cs="Arial"/>
                <w:szCs w:val="24"/>
              </w:rPr>
              <w:t>0.367</w:t>
            </w:r>
          </w:p>
        </w:tc>
        <w:tc>
          <w:tcPr>
            <w:tcW w:w="1881" w:type="dxa"/>
            <w:vAlign w:val="center"/>
          </w:tcPr>
          <w:p w14:paraId="60A5D4B4" w14:textId="77777777" w:rsidR="00475888" w:rsidRPr="002B61DF" w:rsidRDefault="00000000" w:rsidP="002B61DF">
            <w:pPr>
              <w:spacing w:line="360" w:lineRule="auto"/>
              <w:rPr>
                <w:rFonts w:cs="Arial"/>
                <w:szCs w:val="24"/>
              </w:rPr>
            </w:pPr>
            <w:r w:rsidRPr="002B61DF">
              <w:rPr>
                <w:rFonts w:cs="Arial"/>
                <w:szCs w:val="24"/>
              </w:rPr>
              <w:t>0.0151</w:t>
            </w:r>
          </w:p>
        </w:tc>
      </w:tr>
      <w:tr w:rsidR="00475888" w:rsidRPr="002B61DF" w14:paraId="282C942D" w14:textId="77777777">
        <w:trPr>
          <w:jc w:val="center"/>
        </w:trPr>
        <w:tc>
          <w:tcPr>
            <w:tcW w:w="1881" w:type="dxa"/>
            <w:vAlign w:val="center"/>
          </w:tcPr>
          <w:p w14:paraId="5F45F0B4" w14:textId="77777777" w:rsidR="00475888" w:rsidRPr="002B61DF" w:rsidRDefault="00000000" w:rsidP="002B61DF">
            <w:pPr>
              <w:spacing w:line="360" w:lineRule="auto"/>
              <w:rPr>
                <w:rFonts w:cs="Arial"/>
                <w:szCs w:val="24"/>
              </w:rPr>
            </w:pPr>
            <w:r w:rsidRPr="002B61DF">
              <w:rPr>
                <w:rFonts w:cs="Arial"/>
                <w:szCs w:val="24"/>
              </w:rPr>
              <w:t>25% / 75%</w:t>
            </w:r>
          </w:p>
        </w:tc>
        <w:tc>
          <w:tcPr>
            <w:tcW w:w="1881" w:type="dxa"/>
            <w:vAlign w:val="center"/>
          </w:tcPr>
          <w:p w14:paraId="193024CD" w14:textId="77777777" w:rsidR="00475888" w:rsidRPr="002B61DF" w:rsidRDefault="00000000" w:rsidP="002B61DF">
            <w:pPr>
              <w:spacing w:line="360" w:lineRule="auto"/>
              <w:rPr>
                <w:rFonts w:cs="Arial"/>
                <w:szCs w:val="24"/>
              </w:rPr>
            </w:pPr>
            <w:r w:rsidRPr="002B61DF">
              <w:rPr>
                <w:rFonts w:cs="Arial"/>
                <w:szCs w:val="24"/>
              </w:rPr>
              <w:t>11.62%</w:t>
            </w:r>
          </w:p>
        </w:tc>
        <w:tc>
          <w:tcPr>
            <w:tcW w:w="1881" w:type="dxa"/>
            <w:vAlign w:val="center"/>
          </w:tcPr>
          <w:p w14:paraId="6700862A" w14:textId="77777777" w:rsidR="00475888" w:rsidRPr="002B61DF" w:rsidRDefault="00000000" w:rsidP="002B61DF">
            <w:pPr>
              <w:spacing w:line="360" w:lineRule="auto"/>
              <w:rPr>
                <w:rFonts w:cs="Arial"/>
                <w:szCs w:val="24"/>
              </w:rPr>
            </w:pPr>
            <w:r w:rsidRPr="002B61DF">
              <w:rPr>
                <w:rFonts w:cs="Arial"/>
                <w:szCs w:val="24"/>
              </w:rPr>
              <w:t>16.78%</w:t>
            </w:r>
          </w:p>
        </w:tc>
        <w:tc>
          <w:tcPr>
            <w:tcW w:w="1881" w:type="dxa"/>
            <w:vAlign w:val="center"/>
          </w:tcPr>
          <w:p w14:paraId="1A27F438" w14:textId="77777777" w:rsidR="00475888" w:rsidRPr="002B61DF" w:rsidRDefault="00000000" w:rsidP="002B61DF">
            <w:pPr>
              <w:spacing w:line="360" w:lineRule="auto"/>
              <w:rPr>
                <w:rFonts w:cs="Arial"/>
                <w:szCs w:val="24"/>
              </w:rPr>
            </w:pPr>
            <w:r w:rsidRPr="002B61DF">
              <w:rPr>
                <w:rFonts w:cs="Arial"/>
                <w:szCs w:val="24"/>
              </w:rPr>
              <w:t>0.478</w:t>
            </w:r>
          </w:p>
        </w:tc>
        <w:tc>
          <w:tcPr>
            <w:tcW w:w="1881" w:type="dxa"/>
            <w:vAlign w:val="center"/>
          </w:tcPr>
          <w:p w14:paraId="09D0BE98" w14:textId="77777777" w:rsidR="00475888" w:rsidRPr="002B61DF" w:rsidRDefault="00000000" w:rsidP="002B61DF">
            <w:pPr>
              <w:spacing w:line="360" w:lineRule="auto"/>
              <w:rPr>
                <w:rFonts w:cs="Arial"/>
                <w:szCs w:val="24"/>
              </w:rPr>
            </w:pPr>
            <w:r w:rsidRPr="002B61DF">
              <w:rPr>
                <w:rFonts w:cs="Arial"/>
                <w:szCs w:val="24"/>
              </w:rPr>
              <w:t>0.0599</w:t>
            </w:r>
          </w:p>
        </w:tc>
      </w:tr>
      <w:tr w:rsidR="00475888" w:rsidRPr="002B61DF" w14:paraId="764961C9" w14:textId="77777777">
        <w:trPr>
          <w:jc w:val="center"/>
        </w:trPr>
        <w:tc>
          <w:tcPr>
            <w:tcW w:w="1881" w:type="dxa"/>
            <w:vAlign w:val="center"/>
          </w:tcPr>
          <w:p w14:paraId="513D5CB6" w14:textId="77777777" w:rsidR="00475888" w:rsidRPr="002B61DF" w:rsidRDefault="00000000" w:rsidP="002B61DF">
            <w:pPr>
              <w:spacing w:line="360" w:lineRule="auto"/>
              <w:rPr>
                <w:rFonts w:cs="Arial"/>
                <w:szCs w:val="24"/>
              </w:rPr>
            </w:pPr>
            <w:r w:rsidRPr="002B61DF">
              <w:rPr>
                <w:rFonts w:cs="Arial"/>
                <w:szCs w:val="24"/>
              </w:rPr>
              <w:t>50% / 50%</w:t>
            </w:r>
          </w:p>
        </w:tc>
        <w:tc>
          <w:tcPr>
            <w:tcW w:w="1881" w:type="dxa"/>
            <w:vAlign w:val="center"/>
          </w:tcPr>
          <w:p w14:paraId="3A1A8E34" w14:textId="77777777" w:rsidR="00475888" w:rsidRPr="002B61DF" w:rsidRDefault="00000000" w:rsidP="002B61DF">
            <w:pPr>
              <w:spacing w:line="360" w:lineRule="auto"/>
              <w:rPr>
                <w:rFonts w:cs="Arial"/>
                <w:szCs w:val="24"/>
              </w:rPr>
            </w:pPr>
            <w:r w:rsidRPr="002B61DF">
              <w:rPr>
                <w:rFonts w:cs="Arial"/>
                <w:szCs w:val="24"/>
              </w:rPr>
              <w:t>11.25%</w:t>
            </w:r>
          </w:p>
        </w:tc>
        <w:tc>
          <w:tcPr>
            <w:tcW w:w="1881" w:type="dxa"/>
            <w:vAlign w:val="center"/>
          </w:tcPr>
          <w:p w14:paraId="27CE43CC" w14:textId="77777777" w:rsidR="00475888" w:rsidRPr="002B61DF" w:rsidRDefault="00000000" w:rsidP="002B61DF">
            <w:pPr>
              <w:spacing w:line="360" w:lineRule="auto"/>
              <w:rPr>
                <w:rFonts w:cs="Arial"/>
                <w:szCs w:val="24"/>
              </w:rPr>
            </w:pPr>
            <w:r w:rsidRPr="002B61DF">
              <w:rPr>
                <w:rFonts w:cs="Arial"/>
                <w:szCs w:val="24"/>
              </w:rPr>
              <w:t>12.33%</w:t>
            </w:r>
          </w:p>
        </w:tc>
        <w:tc>
          <w:tcPr>
            <w:tcW w:w="1881" w:type="dxa"/>
            <w:vAlign w:val="center"/>
          </w:tcPr>
          <w:p w14:paraId="2F0BB9F5" w14:textId="77777777" w:rsidR="00475888" w:rsidRPr="002B61DF" w:rsidRDefault="00000000" w:rsidP="002B61DF">
            <w:pPr>
              <w:spacing w:line="360" w:lineRule="auto"/>
              <w:rPr>
                <w:rFonts w:cs="Arial"/>
                <w:szCs w:val="24"/>
              </w:rPr>
            </w:pPr>
            <w:r w:rsidRPr="002B61DF">
              <w:rPr>
                <w:rFonts w:cs="Arial"/>
                <w:szCs w:val="24"/>
              </w:rPr>
              <w:t>0.621</w:t>
            </w:r>
          </w:p>
        </w:tc>
        <w:tc>
          <w:tcPr>
            <w:tcW w:w="1881" w:type="dxa"/>
            <w:vAlign w:val="center"/>
          </w:tcPr>
          <w:p w14:paraId="6FE9C577" w14:textId="77777777" w:rsidR="00475888" w:rsidRPr="002B61DF" w:rsidRDefault="00000000" w:rsidP="002B61DF">
            <w:pPr>
              <w:spacing w:line="360" w:lineRule="auto"/>
              <w:rPr>
                <w:rFonts w:cs="Arial"/>
                <w:szCs w:val="24"/>
              </w:rPr>
            </w:pPr>
            <w:r w:rsidRPr="002B61DF">
              <w:rPr>
                <w:rFonts w:cs="Arial"/>
                <w:szCs w:val="24"/>
              </w:rPr>
              <w:t>0.0821</w:t>
            </w:r>
          </w:p>
        </w:tc>
      </w:tr>
      <w:tr w:rsidR="00475888" w:rsidRPr="002B61DF" w14:paraId="0B301A11" w14:textId="77777777">
        <w:trPr>
          <w:jc w:val="center"/>
        </w:trPr>
        <w:tc>
          <w:tcPr>
            <w:tcW w:w="1881" w:type="dxa"/>
            <w:vAlign w:val="center"/>
          </w:tcPr>
          <w:p w14:paraId="78394A16" w14:textId="77777777" w:rsidR="00475888" w:rsidRPr="002B61DF" w:rsidRDefault="00000000" w:rsidP="002B61DF">
            <w:pPr>
              <w:spacing w:line="360" w:lineRule="auto"/>
              <w:rPr>
                <w:rFonts w:cs="Arial"/>
                <w:szCs w:val="24"/>
              </w:rPr>
            </w:pPr>
            <w:r w:rsidRPr="002B61DF">
              <w:rPr>
                <w:rFonts w:cs="Arial"/>
                <w:szCs w:val="24"/>
              </w:rPr>
              <w:t>60% / 40%</w:t>
            </w:r>
          </w:p>
        </w:tc>
        <w:tc>
          <w:tcPr>
            <w:tcW w:w="1881" w:type="dxa"/>
            <w:vAlign w:val="center"/>
          </w:tcPr>
          <w:p w14:paraId="48DC27C0" w14:textId="77777777" w:rsidR="00475888" w:rsidRPr="002B61DF" w:rsidRDefault="00000000" w:rsidP="002B61DF">
            <w:pPr>
              <w:spacing w:line="360" w:lineRule="auto"/>
              <w:rPr>
                <w:rFonts w:cs="Arial"/>
                <w:szCs w:val="24"/>
              </w:rPr>
            </w:pPr>
            <w:r w:rsidRPr="002B61DF">
              <w:rPr>
                <w:rFonts w:cs="Arial"/>
                <w:szCs w:val="24"/>
              </w:rPr>
              <w:t>11.10%</w:t>
            </w:r>
          </w:p>
        </w:tc>
        <w:tc>
          <w:tcPr>
            <w:tcW w:w="1881" w:type="dxa"/>
            <w:vAlign w:val="center"/>
          </w:tcPr>
          <w:p w14:paraId="40EDD108" w14:textId="77777777" w:rsidR="00475888" w:rsidRPr="002B61DF" w:rsidRDefault="00000000" w:rsidP="002B61DF">
            <w:pPr>
              <w:spacing w:line="360" w:lineRule="auto"/>
              <w:rPr>
                <w:rFonts w:cs="Arial"/>
                <w:szCs w:val="24"/>
              </w:rPr>
            </w:pPr>
            <w:r w:rsidRPr="002B61DF">
              <w:rPr>
                <w:rFonts w:cs="Arial"/>
                <w:szCs w:val="24"/>
              </w:rPr>
              <w:t>11.48%</w:t>
            </w:r>
          </w:p>
        </w:tc>
        <w:tc>
          <w:tcPr>
            <w:tcW w:w="1881" w:type="dxa"/>
            <w:vAlign w:val="center"/>
          </w:tcPr>
          <w:p w14:paraId="7E790967" w14:textId="77777777" w:rsidR="00475888" w:rsidRPr="002B61DF" w:rsidRDefault="00000000" w:rsidP="002B61DF">
            <w:pPr>
              <w:spacing w:line="360" w:lineRule="auto"/>
              <w:rPr>
                <w:rFonts w:cs="Arial"/>
                <w:szCs w:val="24"/>
              </w:rPr>
            </w:pPr>
            <w:r w:rsidRPr="002B61DF">
              <w:rPr>
                <w:rFonts w:cs="Arial"/>
                <w:szCs w:val="24"/>
              </w:rPr>
              <w:t>0.653</w:t>
            </w:r>
          </w:p>
        </w:tc>
        <w:tc>
          <w:tcPr>
            <w:tcW w:w="1881" w:type="dxa"/>
            <w:vAlign w:val="center"/>
          </w:tcPr>
          <w:p w14:paraId="046AAB09" w14:textId="77777777" w:rsidR="00475888" w:rsidRPr="002B61DF" w:rsidRDefault="00000000" w:rsidP="002B61DF">
            <w:pPr>
              <w:spacing w:line="360" w:lineRule="auto"/>
              <w:rPr>
                <w:rFonts w:cs="Arial"/>
                <w:szCs w:val="24"/>
              </w:rPr>
            </w:pPr>
            <w:r w:rsidRPr="002B61DF">
              <w:rPr>
                <w:rFonts w:cs="Arial"/>
                <w:szCs w:val="24"/>
              </w:rPr>
              <w:t>0.0846</w:t>
            </w:r>
          </w:p>
        </w:tc>
      </w:tr>
      <w:tr w:rsidR="00475888" w:rsidRPr="002B61DF" w14:paraId="5E2C5972" w14:textId="77777777">
        <w:trPr>
          <w:jc w:val="center"/>
        </w:trPr>
        <w:tc>
          <w:tcPr>
            <w:tcW w:w="1881" w:type="dxa"/>
            <w:vAlign w:val="center"/>
          </w:tcPr>
          <w:p w14:paraId="4F64AE94" w14:textId="77777777" w:rsidR="00475888" w:rsidRPr="002B61DF" w:rsidRDefault="00000000" w:rsidP="002B61DF">
            <w:pPr>
              <w:spacing w:line="360" w:lineRule="auto"/>
              <w:rPr>
                <w:rFonts w:cs="Arial"/>
                <w:szCs w:val="24"/>
              </w:rPr>
            </w:pPr>
            <w:r w:rsidRPr="002B61DF">
              <w:rPr>
                <w:rFonts w:cs="Arial"/>
                <w:szCs w:val="24"/>
              </w:rPr>
              <w:t>62% / 38%</w:t>
            </w:r>
          </w:p>
        </w:tc>
        <w:tc>
          <w:tcPr>
            <w:tcW w:w="1881" w:type="dxa"/>
            <w:vAlign w:val="center"/>
          </w:tcPr>
          <w:p w14:paraId="648A4AA4" w14:textId="77777777" w:rsidR="00475888" w:rsidRPr="002B61DF" w:rsidRDefault="00000000" w:rsidP="002B61DF">
            <w:pPr>
              <w:spacing w:line="360" w:lineRule="auto"/>
              <w:rPr>
                <w:rFonts w:cs="Arial"/>
                <w:szCs w:val="24"/>
              </w:rPr>
            </w:pPr>
            <w:r w:rsidRPr="002B61DF">
              <w:rPr>
                <w:rFonts w:cs="Arial"/>
                <w:szCs w:val="24"/>
              </w:rPr>
              <w:t>11.07%</w:t>
            </w:r>
          </w:p>
        </w:tc>
        <w:tc>
          <w:tcPr>
            <w:tcW w:w="1881" w:type="dxa"/>
            <w:vAlign w:val="center"/>
          </w:tcPr>
          <w:p w14:paraId="285E5E7B" w14:textId="77777777" w:rsidR="00475888" w:rsidRPr="002B61DF" w:rsidRDefault="00000000" w:rsidP="002B61DF">
            <w:pPr>
              <w:spacing w:line="360" w:lineRule="auto"/>
              <w:rPr>
                <w:rFonts w:cs="Arial"/>
                <w:szCs w:val="24"/>
              </w:rPr>
            </w:pPr>
            <w:r w:rsidRPr="002B61DF">
              <w:rPr>
                <w:rFonts w:cs="Arial"/>
                <w:szCs w:val="24"/>
              </w:rPr>
              <w:t>11.40%</w:t>
            </w:r>
          </w:p>
        </w:tc>
        <w:tc>
          <w:tcPr>
            <w:tcW w:w="1881" w:type="dxa"/>
            <w:vAlign w:val="center"/>
          </w:tcPr>
          <w:p w14:paraId="475B538C" w14:textId="77777777" w:rsidR="00475888" w:rsidRPr="002B61DF" w:rsidRDefault="00000000" w:rsidP="002B61DF">
            <w:pPr>
              <w:spacing w:line="360" w:lineRule="auto"/>
              <w:rPr>
                <w:rFonts w:cs="Arial"/>
                <w:szCs w:val="24"/>
              </w:rPr>
            </w:pPr>
            <w:r w:rsidRPr="002B61DF">
              <w:rPr>
                <w:rFonts w:cs="Arial"/>
                <w:szCs w:val="24"/>
              </w:rPr>
              <w:t>0.655</w:t>
            </w:r>
          </w:p>
        </w:tc>
        <w:tc>
          <w:tcPr>
            <w:tcW w:w="1881" w:type="dxa"/>
            <w:vAlign w:val="center"/>
          </w:tcPr>
          <w:p w14:paraId="15A10AE9" w14:textId="77777777" w:rsidR="00475888" w:rsidRPr="002B61DF" w:rsidRDefault="00000000" w:rsidP="002B61DF">
            <w:pPr>
              <w:spacing w:line="360" w:lineRule="auto"/>
              <w:rPr>
                <w:rFonts w:cs="Arial"/>
                <w:szCs w:val="24"/>
              </w:rPr>
            </w:pPr>
            <w:r w:rsidRPr="002B61DF">
              <w:rPr>
                <w:rFonts w:cs="Arial"/>
                <w:szCs w:val="24"/>
              </w:rPr>
              <w:t>0.0847</w:t>
            </w:r>
          </w:p>
        </w:tc>
      </w:tr>
      <w:tr w:rsidR="00475888" w:rsidRPr="002B61DF" w14:paraId="57BF2F7A" w14:textId="77777777">
        <w:trPr>
          <w:jc w:val="center"/>
        </w:trPr>
        <w:tc>
          <w:tcPr>
            <w:tcW w:w="1881" w:type="dxa"/>
            <w:vAlign w:val="center"/>
          </w:tcPr>
          <w:p w14:paraId="66704B38" w14:textId="77777777" w:rsidR="00475888" w:rsidRPr="002B61DF" w:rsidRDefault="00000000" w:rsidP="002B61DF">
            <w:pPr>
              <w:spacing w:line="360" w:lineRule="auto"/>
              <w:rPr>
                <w:rFonts w:cs="Arial"/>
                <w:szCs w:val="24"/>
              </w:rPr>
            </w:pPr>
            <w:r w:rsidRPr="002B61DF">
              <w:rPr>
                <w:rFonts w:cs="Arial"/>
                <w:szCs w:val="24"/>
              </w:rPr>
              <w:t>65% / 35%</w:t>
            </w:r>
          </w:p>
        </w:tc>
        <w:tc>
          <w:tcPr>
            <w:tcW w:w="1881" w:type="dxa"/>
            <w:vAlign w:val="center"/>
          </w:tcPr>
          <w:p w14:paraId="7D029741" w14:textId="77777777" w:rsidR="00475888" w:rsidRPr="002B61DF" w:rsidRDefault="00000000" w:rsidP="002B61DF">
            <w:pPr>
              <w:spacing w:line="360" w:lineRule="auto"/>
              <w:rPr>
                <w:rFonts w:cs="Arial"/>
                <w:szCs w:val="24"/>
              </w:rPr>
            </w:pPr>
            <w:r w:rsidRPr="002B61DF">
              <w:rPr>
                <w:rFonts w:cs="Arial"/>
                <w:szCs w:val="24"/>
              </w:rPr>
              <w:t>11.03%</w:t>
            </w:r>
          </w:p>
        </w:tc>
        <w:tc>
          <w:tcPr>
            <w:tcW w:w="1881" w:type="dxa"/>
            <w:vAlign w:val="center"/>
          </w:tcPr>
          <w:p w14:paraId="677198BD" w14:textId="77777777" w:rsidR="00475888" w:rsidRPr="002B61DF" w:rsidRDefault="00000000" w:rsidP="002B61DF">
            <w:pPr>
              <w:spacing w:line="360" w:lineRule="auto"/>
              <w:rPr>
                <w:rFonts w:cs="Arial"/>
                <w:szCs w:val="24"/>
              </w:rPr>
            </w:pPr>
            <w:r w:rsidRPr="002B61DF">
              <w:rPr>
                <w:rFonts w:cs="Arial"/>
                <w:szCs w:val="24"/>
              </w:rPr>
              <w:t>11.34%</w:t>
            </w:r>
          </w:p>
        </w:tc>
        <w:tc>
          <w:tcPr>
            <w:tcW w:w="1881" w:type="dxa"/>
            <w:vAlign w:val="center"/>
          </w:tcPr>
          <w:p w14:paraId="0BFD7BBB" w14:textId="77777777" w:rsidR="00475888" w:rsidRPr="002B61DF" w:rsidRDefault="00000000" w:rsidP="002B61DF">
            <w:pPr>
              <w:spacing w:line="360" w:lineRule="auto"/>
              <w:rPr>
                <w:rFonts w:cs="Arial"/>
                <w:szCs w:val="24"/>
              </w:rPr>
            </w:pPr>
            <w:r w:rsidRPr="002B61DF">
              <w:rPr>
                <w:rFonts w:cs="Arial"/>
                <w:szCs w:val="24"/>
              </w:rPr>
              <w:t>0.655</w:t>
            </w:r>
          </w:p>
        </w:tc>
        <w:tc>
          <w:tcPr>
            <w:tcW w:w="1881" w:type="dxa"/>
            <w:vAlign w:val="center"/>
          </w:tcPr>
          <w:p w14:paraId="16806C15" w14:textId="77777777" w:rsidR="00475888" w:rsidRPr="002B61DF" w:rsidRDefault="00000000" w:rsidP="002B61DF">
            <w:pPr>
              <w:spacing w:line="360" w:lineRule="auto"/>
              <w:rPr>
                <w:rFonts w:cs="Arial"/>
                <w:szCs w:val="24"/>
              </w:rPr>
            </w:pPr>
            <w:r w:rsidRPr="002B61DF">
              <w:rPr>
                <w:rFonts w:cs="Arial"/>
                <w:szCs w:val="24"/>
              </w:rPr>
              <w:t>0.0846</w:t>
            </w:r>
          </w:p>
        </w:tc>
      </w:tr>
      <w:tr w:rsidR="00475888" w:rsidRPr="002B61DF" w14:paraId="36313E41" w14:textId="77777777">
        <w:trPr>
          <w:jc w:val="center"/>
        </w:trPr>
        <w:tc>
          <w:tcPr>
            <w:tcW w:w="1881" w:type="dxa"/>
            <w:vAlign w:val="center"/>
          </w:tcPr>
          <w:p w14:paraId="5C8D50F5" w14:textId="77777777" w:rsidR="00475888" w:rsidRPr="002B61DF" w:rsidRDefault="00000000" w:rsidP="002B61DF">
            <w:pPr>
              <w:spacing w:line="360" w:lineRule="auto"/>
              <w:rPr>
                <w:rFonts w:cs="Arial"/>
                <w:szCs w:val="24"/>
              </w:rPr>
            </w:pPr>
            <w:r w:rsidRPr="002B61DF">
              <w:rPr>
                <w:rFonts w:cs="Arial"/>
                <w:szCs w:val="24"/>
              </w:rPr>
              <w:lastRenderedPageBreak/>
              <w:t>75% / 25%</w:t>
            </w:r>
          </w:p>
        </w:tc>
        <w:tc>
          <w:tcPr>
            <w:tcW w:w="1881" w:type="dxa"/>
            <w:vAlign w:val="center"/>
          </w:tcPr>
          <w:p w14:paraId="3467A796" w14:textId="77777777" w:rsidR="00475888" w:rsidRPr="002B61DF" w:rsidRDefault="00000000" w:rsidP="002B61DF">
            <w:pPr>
              <w:spacing w:line="360" w:lineRule="auto"/>
              <w:rPr>
                <w:rFonts w:cs="Arial"/>
                <w:szCs w:val="24"/>
              </w:rPr>
            </w:pPr>
            <w:r w:rsidRPr="002B61DF">
              <w:rPr>
                <w:rFonts w:cs="Arial"/>
                <w:szCs w:val="24"/>
              </w:rPr>
              <w:t>10.88%</w:t>
            </w:r>
          </w:p>
        </w:tc>
        <w:tc>
          <w:tcPr>
            <w:tcW w:w="1881" w:type="dxa"/>
            <w:vAlign w:val="center"/>
          </w:tcPr>
          <w:p w14:paraId="07950481" w14:textId="77777777" w:rsidR="00475888" w:rsidRPr="002B61DF" w:rsidRDefault="00000000" w:rsidP="002B61DF">
            <w:pPr>
              <w:spacing w:line="360" w:lineRule="auto"/>
              <w:rPr>
                <w:rFonts w:cs="Arial"/>
                <w:szCs w:val="24"/>
              </w:rPr>
            </w:pPr>
            <w:r w:rsidRPr="002B61DF">
              <w:rPr>
                <w:rFonts w:cs="Arial"/>
                <w:szCs w:val="24"/>
              </w:rPr>
              <w:t>11.64%</w:t>
            </w:r>
          </w:p>
        </w:tc>
        <w:tc>
          <w:tcPr>
            <w:tcW w:w="1881" w:type="dxa"/>
            <w:vAlign w:val="center"/>
          </w:tcPr>
          <w:p w14:paraId="7ADA88A0" w14:textId="77777777" w:rsidR="00475888" w:rsidRPr="002B61DF" w:rsidRDefault="00000000" w:rsidP="002B61DF">
            <w:pPr>
              <w:spacing w:line="360" w:lineRule="auto"/>
              <w:rPr>
                <w:rFonts w:cs="Arial"/>
                <w:szCs w:val="24"/>
              </w:rPr>
            </w:pPr>
            <w:r w:rsidRPr="002B61DF">
              <w:rPr>
                <w:rFonts w:cs="Arial"/>
                <w:szCs w:val="24"/>
              </w:rPr>
              <w:t>0.625</w:t>
            </w:r>
          </w:p>
        </w:tc>
        <w:tc>
          <w:tcPr>
            <w:tcW w:w="1881" w:type="dxa"/>
            <w:vAlign w:val="center"/>
          </w:tcPr>
          <w:p w14:paraId="2CB85212" w14:textId="77777777" w:rsidR="00475888" w:rsidRPr="002B61DF" w:rsidRDefault="00000000" w:rsidP="002B61DF">
            <w:pPr>
              <w:spacing w:line="360" w:lineRule="auto"/>
              <w:rPr>
                <w:rFonts w:cs="Arial"/>
                <w:szCs w:val="24"/>
              </w:rPr>
            </w:pPr>
            <w:r w:rsidRPr="002B61DF">
              <w:rPr>
                <w:rFonts w:cs="Arial"/>
                <w:szCs w:val="24"/>
              </w:rPr>
              <w:t>0.0817</w:t>
            </w:r>
          </w:p>
        </w:tc>
      </w:tr>
      <w:tr w:rsidR="00475888" w:rsidRPr="002B61DF" w14:paraId="691E95FB" w14:textId="77777777">
        <w:trPr>
          <w:jc w:val="center"/>
        </w:trPr>
        <w:tc>
          <w:tcPr>
            <w:tcW w:w="1881" w:type="dxa"/>
            <w:vAlign w:val="center"/>
          </w:tcPr>
          <w:p w14:paraId="1A2E028E" w14:textId="77777777" w:rsidR="00475888" w:rsidRPr="002B61DF" w:rsidRDefault="00000000" w:rsidP="002B61DF">
            <w:pPr>
              <w:spacing w:line="360" w:lineRule="auto"/>
              <w:rPr>
                <w:rFonts w:cs="Arial"/>
                <w:szCs w:val="24"/>
              </w:rPr>
            </w:pPr>
            <w:r w:rsidRPr="002B61DF">
              <w:rPr>
                <w:rFonts w:cs="Arial"/>
                <w:szCs w:val="24"/>
              </w:rPr>
              <w:t>100% / 0%</w:t>
            </w:r>
          </w:p>
        </w:tc>
        <w:tc>
          <w:tcPr>
            <w:tcW w:w="1881" w:type="dxa"/>
            <w:vAlign w:val="center"/>
          </w:tcPr>
          <w:p w14:paraId="7224CB3D" w14:textId="77777777" w:rsidR="00475888" w:rsidRPr="002B61DF" w:rsidRDefault="00000000" w:rsidP="002B61DF">
            <w:pPr>
              <w:spacing w:line="360" w:lineRule="auto"/>
              <w:rPr>
                <w:rFonts w:cs="Arial"/>
                <w:szCs w:val="24"/>
              </w:rPr>
            </w:pPr>
            <w:r w:rsidRPr="002B61DF">
              <w:rPr>
                <w:rFonts w:cs="Arial"/>
                <w:szCs w:val="24"/>
              </w:rPr>
              <w:t>10.50%</w:t>
            </w:r>
          </w:p>
        </w:tc>
        <w:tc>
          <w:tcPr>
            <w:tcW w:w="1881" w:type="dxa"/>
            <w:vAlign w:val="center"/>
          </w:tcPr>
          <w:p w14:paraId="0895D235" w14:textId="77777777" w:rsidR="00475888" w:rsidRPr="002B61DF" w:rsidRDefault="00000000" w:rsidP="002B61DF">
            <w:pPr>
              <w:spacing w:line="360" w:lineRule="auto"/>
              <w:rPr>
                <w:rFonts w:cs="Arial"/>
                <w:szCs w:val="24"/>
              </w:rPr>
            </w:pPr>
            <w:r w:rsidRPr="002B61DF">
              <w:rPr>
                <w:rFonts w:cs="Arial"/>
                <w:szCs w:val="24"/>
              </w:rPr>
              <w:t>15.24%</w:t>
            </w:r>
          </w:p>
        </w:tc>
        <w:tc>
          <w:tcPr>
            <w:tcW w:w="1881" w:type="dxa"/>
            <w:vAlign w:val="center"/>
          </w:tcPr>
          <w:p w14:paraId="76ADF612" w14:textId="77777777" w:rsidR="00475888" w:rsidRPr="002B61DF" w:rsidRDefault="00000000" w:rsidP="002B61DF">
            <w:pPr>
              <w:spacing w:line="360" w:lineRule="auto"/>
              <w:rPr>
                <w:rFonts w:cs="Arial"/>
                <w:szCs w:val="24"/>
              </w:rPr>
            </w:pPr>
            <w:r w:rsidRPr="002B61DF">
              <w:rPr>
                <w:rFonts w:cs="Arial"/>
                <w:szCs w:val="24"/>
              </w:rPr>
              <w:t>0.453</w:t>
            </w:r>
          </w:p>
        </w:tc>
        <w:tc>
          <w:tcPr>
            <w:tcW w:w="1881" w:type="dxa"/>
            <w:vAlign w:val="center"/>
          </w:tcPr>
          <w:p w14:paraId="0AC600EF" w14:textId="77777777" w:rsidR="00475888" w:rsidRPr="002B61DF" w:rsidRDefault="00000000" w:rsidP="002B61DF">
            <w:pPr>
              <w:spacing w:line="360" w:lineRule="auto"/>
              <w:rPr>
                <w:rFonts w:cs="Arial"/>
                <w:szCs w:val="24"/>
              </w:rPr>
            </w:pPr>
            <w:r w:rsidRPr="002B61DF">
              <w:rPr>
                <w:rFonts w:cs="Arial"/>
                <w:szCs w:val="24"/>
              </w:rPr>
              <w:t>0.0586</w:t>
            </w:r>
          </w:p>
        </w:tc>
      </w:tr>
    </w:tbl>
    <w:p w14:paraId="556CB11F" w14:textId="2B9BF8DD" w:rsidR="00475888" w:rsidRPr="002B61DF" w:rsidRDefault="00000000" w:rsidP="002B61DF">
      <w:pPr>
        <w:spacing w:after="120" w:line="360" w:lineRule="auto"/>
        <w:jc w:val="center"/>
        <w:rPr>
          <w:rFonts w:cs="Arial"/>
          <w:szCs w:val="24"/>
        </w:rPr>
      </w:pPr>
      <w:r w:rsidRPr="002B61DF">
        <w:rPr>
          <w:rFonts w:cs="Arial"/>
          <w:i/>
          <w:szCs w:val="24"/>
        </w:rPr>
        <w:t>Source: author calculations from Table 1 and Table 2 inputs.</w:t>
      </w:r>
    </w:p>
    <w:p w14:paraId="1A476644" w14:textId="77777777" w:rsidR="007B2E45" w:rsidRPr="002B61DF" w:rsidRDefault="00000000" w:rsidP="002B61DF">
      <w:pPr>
        <w:keepNext/>
        <w:spacing w:line="360" w:lineRule="auto"/>
        <w:jc w:val="center"/>
        <w:rPr>
          <w:rFonts w:cs="Arial"/>
        </w:rPr>
      </w:pPr>
      <w:r w:rsidRPr="002B61DF">
        <w:rPr>
          <w:rFonts w:cs="Arial"/>
          <w:noProof/>
        </w:rPr>
        <w:drawing>
          <wp:inline distT="0" distB="0" distL="0" distR="0" wp14:anchorId="417D5EB5" wp14:editId="01A7122F">
            <wp:extent cx="5577840" cy="33103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z_csl_risk_return.png"/>
                    <pic:cNvPicPr/>
                  </pic:nvPicPr>
                  <pic:blipFill>
                    <a:blip r:embed="rId11"/>
                    <a:stretch>
                      <a:fillRect/>
                    </a:stretch>
                  </pic:blipFill>
                  <pic:spPr>
                    <a:xfrm>
                      <a:off x="0" y="0"/>
                      <a:ext cx="5577840" cy="3310327"/>
                    </a:xfrm>
                    <a:prstGeom prst="rect">
                      <a:avLst/>
                    </a:prstGeom>
                  </pic:spPr>
                </pic:pic>
              </a:graphicData>
            </a:graphic>
          </wp:inline>
        </w:drawing>
      </w:r>
    </w:p>
    <w:p w14:paraId="45D3E487" w14:textId="4AF5D240" w:rsidR="00475888" w:rsidRPr="002B61DF" w:rsidRDefault="007B2E45" w:rsidP="002B61DF">
      <w:pPr>
        <w:pStyle w:val="Caption"/>
        <w:spacing w:line="360" w:lineRule="auto"/>
        <w:jc w:val="center"/>
        <w:rPr>
          <w:rFonts w:cs="Arial"/>
        </w:rPr>
      </w:pPr>
      <w:bookmarkStart w:id="10" w:name="_Toc229524479"/>
      <w:r w:rsidRPr="002B61DF">
        <w:rPr>
          <w:rFonts w:cs="Arial"/>
        </w:rPr>
        <w:t xml:space="preserve">Figure </w:t>
      </w:r>
      <w:r w:rsidRPr="002B61DF">
        <w:rPr>
          <w:rFonts w:cs="Arial"/>
        </w:rPr>
        <w:fldChar w:fldCharType="begin"/>
      </w:r>
      <w:r w:rsidRPr="002B61DF">
        <w:rPr>
          <w:rFonts w:cs="Arial"/>
        </w:rPr>
        <w:instrText xml:space="preserve"> SEQ Figure \* ARABIC </w:instrText>
      </w:r>
      <w:r w:rsidRPr="002B61DF">
        <w:rPr>
          <w:rFonts w:cs="Arial"/>
        </w:rPr>
        <w:fldChar w:fldCharType="separate"/>
      </w:r>
      <w:r w:rsidRPr="002B61DF">
        <w:rPr>
          <w:rFonts w:cs="Arial"/>
          <w:noProof/>
        </w:rPr>
        <w:t>2</w:t>
      </w:r>
      <w:r w:rsidRPr="002B61DF">
        <w:rPr>
          <w:rFonts w:cs="Arial"/>
        </w:rPr>
        <w:fldChar w:fldCharType="end"/>
      </w:r>
      <w:r w:rsidRPr="002B61DF">
        <w:rPr>
          <w:rFonts w:cs="Arial"/>
        </w:rPr>
        <w:t xml:space="preserve"> . Risk-return trade-off and selected maximum-utility portfolio</w:t>
      </w:r>
      <w:bookmarkEnd w:id="10"/>
    </w:p>
    <w:p w14:paraId="6CF2E8F4" w14:textId="6461C777" w:rsidR="00475888" w:rsidRPr="002B61DF" w:rsidRDefault="00000000" w:rsidP="002B61DF">
      <w:pPr>
        <w:spacing w:after="120" w:line="360" w:lineRule="auto"/>
        <w:jc w:val="center"/>
        <w:rPr>
          <w:rFonts w:cs="Arial"/>
          <w:szCs w:val="24"/>
        </w:rPr>
      </w:pPr>
      <w:r w:rsidRPr="002B61DF">
        <w:rPr>
          <w:rFonts w:cs="Arial"/>
          <w:i/>
          <w:szCs w:val="24"/>
        </w:rPr>
        <w:t>Source: author calculations.</w:t>
      </w:r>
    </w:p>
    <w:p w14:paraId="21E084C0" w14:textId="77777777" w:rsidR="00FB1A67" w:rsidRPr="002B61DF" w:rsidRDefault="00FB1A67" w:rsidP="002B61DF">
      <w:pPr>
        <w:spacing w:after="160" w:line="360" w:lineRule="auto"/>
        <w:jc w:val="both"/>
        <w:rPr>
          <w:rFonts w:cs="Arial"/>
        </w:rPr>
      </w:pPr>
      <w:r w:rsidRPr="002B61DF">
        <w:rPr>
          <w:rFonts w:cs="Arial"/>
        </w:rPr>
        <w:t>The allocation on 1 per cent grid with the maximum utility is 62 per cent ANZ and 38 per cent CSL. The alternatives of rounded 60:40 and 65:35 portfolios are within the range of being very close, but the exact 62:38 portfolio is chosen because it provides the desired utility for the moderate risk aversion profile, while retaining material exposure to both shares. For the selected portfolio, E(Rp) = 0.62(10.50%) + 0.38(12.00%) = 11.07%. Variance equals 0.62</w:t>
      </w:r>
      <w:proofErr w:type="gramStart"/>
      <w:r w:rsidRPr="002B61DF">
        <w:rPr>
          <w:rFonts w:cs="Arial"/>
        </w:rPr>
        <w:t>²(</w:t>
      </w:r>
      <w:proofErr w:type="gramEnd"/>
      <w:r w:rsidRPr="002B61DF">
        <w:rPr>
          <w:rFonts w:cs="Arial"/>
        </w:rPr>
        <w:t>15.24</w:t>
      </w:r>
      <w:proofErr w:type="gramStart"/>
      <w:r w:rsidRPr="002B61DF">
        <w:rPr>
          <w:rFonts w:cs="Arial"/>
        </w:rPr>
        <w:t>%)²</w:t>
      </w:r>
      <w:proofErr w:type="gramEnd"/>
      <w:r w:rsidRPr="002B61DF">
        <w:rPr>
          <w:rFonts w:cs="Arial"/>
        </w:rPr>
        <w:t xml:space="preserve"> + 0.38</w:t>
      </w:r>
      <w:proofErr w:type="gramStart"/>
      <w:r w:rsidRPr="002B61DF">
        <w:rPr>
          <w:rFonts w:cs="Arial"/>
        </w:rPr>
        <w:t>²(</w:t>
      </w:r>
      <w:proofErr w:type="gramEnd"/>
      <w:r w:rsidRPr="002B61DF">
        <w:rPr>
          <w:rFonts w:cs="Arial"/>
        </w:rPr>
        <w:t>22.91</w:t>
      </w:r>
      <w:proofErr w:type="gramStart"/>
      <w:r w:rsidRPr="002B61DF">
        <w:rPr>
          <w:rFonts w:cs="Arial"/>
        </w:rPr>
        <w:t>%)²</w:t>
      </w:r>
      <w:proofErr w:type="gramEnd"/>
      <w:r w:rsidRPr="002B61DF">
        <w:rPr>
          <w:rFonts w:cs="Arial"/>
        </w:rPr>
        <w:t xml:space="preserve"> + 2(</w:t>
      </w:r>
      <w:proofErr w:type="gramStart"/>
      <w:r w:rsidRPr="002B61DF">
        <w:rPr>
          <w:rFonts w:cs="Arial"/>
        </w:rPr>
        <w:t>0.62)(0.38)(</w:t>
      </w:r>
      <w:proofErr w:type="gramEnd"/>
      <w:r w:rsidRPr="002B61DF">
        <w:rPr>
          <w:rFonts w:cs="Arial"/>
        </w:rPr>
        <w:t>-0.</w:t>
      </w:r>
      <w:proofErr w:type="gramStart"/>
      <w:r w:rsidRPr="002B61DF">
        <w:rPr>
          <w:rFonts w:cs="Arial"/>
        </w:rPr>
        <w:t>213)(</w:t>
      </w:r>
      <w:proofErr w:type="gramEnd"/>
      <w:r w:rsidRPr="002B61DF">
        <w:rPr>
          <w:rFonts w:cs="Arial"/>
        </w:rPr>
        <w:t>15.24</w:t>
      </w:r>
      <w:proofErr w:type="gramStart"/>
      <w:r w:rsidRPr="002B61DF">
        <w:rPr>
          <w:rFonts w:cs="Arial"/>
        </w:rPr>
        <w:t>%)(</w:t>
      </w:r>
      <w:proofErr w:type="gramEnd"/>
      <w:r w:rsidRPr="002B61DF">
        <w:rPr>
          <w:rFonts w:cs="Arial"/>
        </w:rPr>
        <w:t xml:space="preserve">22.91%) = 0.0130, so </w:t>
      </w:r>
      <w:proofErr w:type="spellStart"/>
      <w:r w:rsidRPr="002B61DF">
        <w:rPr>
          <w:rFonts w:cs="Arial"/>
        </w:rPr>
        <w:t>σp</w:t>
      </w:r>
      <w:proofErr w:type="spellEnd"/>
      <w:r w:rsidRPr="002B61DF">
        <w:rPr>
          <w:rFonts w:cs="Arial"/>
        </w:rPr>
        <w:t xml:space="preserve"> = 11.40%. Reward-risk = (11.07% - 3.60%) / 11.40% = 0.655. Utility = 0.1107 - 0.5(</w:t>
      </w:r>
      <w:proofErr w:type="gramStart"/>
      <w:r w:rsidRPr="002B61DF">
        <w:rPr>
          <w:rFonts w:cs="Arial"/>
        </w:rPr>
        <w:t>4)(</w:t>
      </w:r>
      <w:proofErr w:type="gramEnd"/>
      <w:r w:rsidRPr="002B61DF">
        <w:rPr>
          <w:rFonts w:cs="Arial"/>
        </w:rPr>
        <w:t>0.0130) = 0.0847.</w:t>
      </w:r>
    </w:p>
    <w:p w14:paraId="4A718816" w14:textId="59EAF624" w:rsidR="00475888" w:rsidRPr="002B61DF" w:rsidRDefault="00FB1A67" w:rsidP="002B61DF">
      <w:pPr>
        <w:spacing w:after="160" w:line="360" w:lineRule="auto"/>
        <w:jc w:val="both"/>
        <w:rPr>
          <w:rFonts w:cs="Arial"/>
        </w:rPr>
      </w:pPr>
      <w:r w:rsidRPr="002B61DF">
        <w:rPr>
          <w:rFonts w:cs="Arial"/>
        </w:rPr>
        <w:t xml:space="preserve">The allocation is both economically and reasonably used. ANZ gets the heftier weight as it performs better recently, has lower volatility in the past and better income support. The weight of CSL is generally less than usual due to benefits of diversifying across the world in healthcare; however, the correction process of 2025 should warrant a risk </w:t>
      </w:r>
      <w:r w:rsidRPr="002B61DF">
        <w:rPr>
          <w:rFonts w:cs="Arial"/>
        </w:rPr>
        <w:lastRenderedPageBreak/>
        <w:t>discount. The negative correlation is particularly useful as while CSL can be volatile individually, combining it with ANZ has resulted in a portfolio risk that is lower than the weighted average of the two risks.</w:t>
      </w:r>
    </w:p>
    <w:p w14:paraId="24B3E469" w14:textId="630F6FAA" w:rsidR="007B2E45" w:rsidRPr="002B61DF" w:rsidRDefault="007B2E45" w:rsidP="002B61DF">
      <w:pPr>
        <w:pStyle w:val="Caption"/>
        <w:keepNext/>
        <w:spacing w:line="360" w:lineRule="auto"/>
        <w:rPr>
          <w:rFonts w:cs="Arial"/>
        </w:rPr>
      </w:pPr>
      <w:bookmarkStart w:id="11" w:name="_Toc229524453"/>
      <w:r w:rsidRPr="002B61DF">
        <w:rPr>
          <w:rFonts w:cs="Arial"/>
        </w:rPr>
        <w:t xml:space="preserve">Table </w:t>
      </w:r>
      <w:r w:rsidRPr="002B61DF">
        <w:rPr>
          <w:rFonts w:cs="Arial"/>
        </w:rPr>
        <w:fldChar w:fldCharType="begin"/>
      </w:r>
      <w:r w:rsidRPr="002B61DF">
        <w:rPr>
          <w:rFonts w:cs="Arial"/>
        </w:rPr>
        <w:instrText xml:space="preserve"> SEQ Table \* ARABIC </w:instrText>
      </w:r>
      <w:r w:rsidRPr="002B61DF">
        <w:rPr>
          <w:rFonts w:cs="Arial"/>
        </w:rPr>
        <w:fldChar w:fldCharType="separate"/>
      </w:r>
      <w:r w:rsidRPr="002B61DF">
        <w:rPr>
          <w:rFonts w:cs="Arial"/>
          <w:noProof/>
        </w:rPr>
        <w:t>4</w:t>
      </w:r>
      <w:r w:rsidRPr="002B61DF">
        <w:rPr>
          <w:rFonts w:cs="Arial"/>
        </w:rPr>
        <w:fldChar w:fldCharType="end"/>
      </w:r>
      <w:r w:rsidRPr="002B61DF">
        <w:rPr>
          <w:rFonts w:cs="Arial"/>
        </w:rPr>
        <w:t xml:space="preserve"> Implementation of A$150,000 portfolio using end-2025 market prices</w:t>
      </w:r>
      <w:bookmarkEnd w:id="11"/>
    </w:p>
    <w:tbl>
      <w:tblPr>
        <w:tblStyle w:val="TableGrid"/>
        <w:tblW w:w="0" w:type="auto"/>
        <w:jc w:val="center"/>
        <w:tblLook w:val="04A0" w:firstRow="1" w:lastRow="0" w:firstColumn="1" w:lastColumn="0" w:noHBand="0" w:noVBand="1"/>
      </w:tblPr>
      <w:tblGrid>
        <w:gridCol w:w="1568"/>
        <w:gridCol w:w="1568"/>
        <w:gridCol w:w="1568"/>
        <w:gridCol w:w="1568"/>
        <w:gridCol w:w="1568"/>
        <w:gridCol w:w="1578"/>
      </w:tblGrid>
      <w:tr w:rsidR="00475888" w:rsidRPr="002B61DF" w14:paraId="247BC047" w14:textId="77777777">
        <w:trPr>
          <w:jc w:val="center"/>
        </w:trPr>
        <w:tc>
          <w:tcPr>
            <w:tcW w:w="1568" w:type="dxa"/>
            <w:shd w:val="clear" w:color="auto" w:fill="D9EAF7"/>
            <w:vAlign w:val="center"/>
          </w:tcPr>
          <w:p w14:paraId="007E9E78" w14:textId="77777777" w:rsidR="00475888" w:rsidRPr="002B61DF" w:rsidRDefault="00000000" w:rsidP="002B61DF">
            <w:pPr>
              <w:spacing w:line="360" w:lineRule="auto"/>
              <w:jc w:val="center"/>
              <w:rPr>
                <w:rFonts w:cs="Arial"/>
                <w:szCs w:val="24"/>
              </w:rPr>
            </w:pPr>
            <w:r w:rsidRPr="002B61DF">
              <w:rPr>
                <w:rFonts w:cs="Arial"/>
                <w:b/>
                <w:szCs w:val="24"/>
              </w:rPr>
              <w:t>Security</w:t>
            </w:r>
          </w:p>
        </w:tc>
        <w:tc>
          <w:tcPr>
            <w:tcW w:w="1568" w:type="dxa"/>
            <w:shd w:val="clear" w:color="auto" w:fill="D9EAF7"/>
            <w:vAlign w:val="center"/>
          </w:tcPr>
          <w:p w14:paraId="14921958" w14:textId="77777777" w:rsidR="00475888" w:rsidRPr="002B61DF" w:rsidRDefault="00000000" w:rsidP="002B61DF">
            <w:pPr>
              <w:spacing w:line="360" w:lineRule="auto"/>
              <w:jc w:val="center"/>
              <w:rPr>
                <w:rFonts w:cs="Arial"/>
                <w:szCs w:val="24"/>
              </w:rPr>
            </w:pPr>
            <w:r w:rsidRPr="002B61DF">
              <w:rPr>
                <w:rFonts w:cs="Arial"/>
                <w:b/>
                <w:szCs w:val="24"/>
              </w:rPr>
              <w:t>Weight</w:t>
            </w:r>
          </w:p>
        </w:tc>
        <w:tc>
          <w:tcPr>
            <w:tcW w:w="1568" w:type="dxa"/>
            <w:shd w:val="clear" w:color="auto" w:fill="D9EAF7"/>
            <w:vAlign w:val="center"/>
          </w:tcPr>
          <w:p w14:paraId="43E2FDD7" w14:textId="77777777" w:rsidR="00475888" w:rsidRPr="002B61DF" w:rsidRDefault="00000000" w:rsidP="002B61DF">
            <w:pPr>
              <w:spacing w:line="360" w:lineRule="auto"/>
              <w:jc w:val="center"/>
              <w:rPr>
                <w:rFonts w:cs="Arial"/>
                <w:szCs w:val="24"/>
              </w:rPr>
            </w:pPr>
            <w:r w:rsidRPr="002B61DF">
              <w:rPr>
                <w:rFonts w:cs="Arial"/>
                <w:b/>
                <w:szCs w:val="24"/>
              </w:rPr>
              <w:t>Dollar allocation</w:t>
            </w:r>
          </w:p>
        </w:tc>
        <w:tc>
          <w:tcPr>
            <w:tcW w:w="1568" w:type="dxa"/>
            <w:shd w:val="clear" w:color="auto" w:fill="D9EAF7"/>
            <w:vAlign w:val="center"/>
          </w:tcPr>
          <w:p w14:paraId="76310146" w14:textId="77777777" w:rsidR="00475888" w:rsidRPr="002B61DF" w:rsidRDefault="00000000" w:rsidP="002B61DF">
            <w:pPr>
              <w:spacing w:line="360" w:lineRule="auto"/>
              <w:jc w:val="center"/>
              <w:rPr>
                <w:rFonts w:cs="Arial"/>
                <w:szCs w:val="24"/>
              </w:rPr>
            </w:pPr>
            <w:r w:rsidRPr="002B61DF">
              <w:rPr>
                <w:rFonts w:cs="Arial"/>
                <w:b/>
                <w:szCs w:val="24"/>
              </w:rPr>
              <w:t>End-2025 price used</w:t>
            </w:r>
          </w:p>
        </w:tc>
        <w:tc>
          <w:tcPr>
            <w:tcW w:w="1568" w:type="dxa"/>
            <w:shd w:val="clear" w:color="auto" w:fill="D9EAF7"/>
            <w:vAlign w:val="center"/>
          </w:tcPr>
          <w:p w14:paraId="510ACCB2" w14:textId="77777777" w:rsidR="00475888" w:rsidRPr="002B61DF" w:rsidRDefault="00000000" w:rsidP="002B61DF">
            <w:pPr>
              <w:spacing w:line="360" w:lineRule="auto"/>
              <w:jc w:val="center"/>
              <w:rPr>
                <w:rFonts w:cs="Arial"/>
                <w:szCs w:val="24"/>
              </w:rPr>
            </w:pPr>
            <w:r w:rsidRPr="002B61DF">
              <w:rPr>
                <w:rFonts w:cs="Arial"/>
                <w:b/>
                <w:szCs w:val="24"/>
              </w:rPr>
              <w:t>Approx. shares</w:t>
            </w:r>
          </w:p>
        </w:tc>
        <w:tc>
          <w:tcPr>
            <w:tcW w:w="1568" w:type="dxa"/>
            <w:shd w:val="clear" w:color="auto" w:fill="D9EAF7"/>
            <w:vAlign w:val="center"/>
          </w:tcPr>
          <w:p w14:paraId="265BA2A8" w14:textId="77777777" w:rsidR="00475888" w:rsidRPr="002B61DF" w:rsidRDefault="00000000" w:rsidP="002B61DF">
            <w:pPr>
              <w:spacing w:line="360" w:lineRule="auto"/>
              <w:jc w:val="center"/>
              <w:rPr>
                <w:rFonts w:cs="Arial"/>
                <w:szCs w:val="24"/>
              </w:rPr>
            </w:pPr>
            <w:r w:rsidRPr="002B61DF">
              <w:rPr>
                <w:rFonts w:cs="Arial"/>
                <w:b/>
                <w:szCs w:val="24"/>
              </w:rPr>
              <w:t>Cash used</w:t>
            </w:r>
          </w:p>
        </w:tc>
      </w:tr>
      <w:tr w:rsidR="00475888" w:rsidRPr="002B61DF" w14:paraId="2D5E7B05" w14:textId="77777777">
        <w:trPr>
          <w:jc w:val="center"/>
        </w:trPr>
        <w:tc>
          <w:tcPr>
            <w:tcW w:w="1568" w:type="dxa"/>
            <w:vAlign w:val="center"/>
          </w:tcPr>
          <w:p w14:paraId="3A8C34F1" w14:textId="77777777" w:rsidR="00475888" w:rsidRPr="002B61DF" w:rsidRDefault="00000000" w:rsidP="002B61DF">
            <w:pPr>
              <w:spacing w:line="360" w:lineRule="auto"/>
              <w:rPr>
                <w:rFonts w:cs="Arial"/>
                <w:szCs w:val="24"/>
              </w:rPr>
            </w:pPr>
            <w:r w:rsidRPr="002B61DF">
              <w:rPr>
                <w:rFonts w:cs="Arial"/>
                <w:szCs w:val="24"/>
              </w:rPr>
              <w:t>ANZ</w:t>
            </w:r>
          </w:p>
        </w:tc>
        <w:tc>
          <w:tcPr>
            <w:tcW w:w="1568" w:type="dxa"/>
            <w:vAlign w:val="center"/>
          </w:tcPr>
          <w:p w14:paraId="2FD7D087" w14:textId="77777777" w:rsidR="00475888" w:rsidRPr="002B61DF" w:rsidRDefault="00000000" w:rsidP="002B61DF">
            <w:pPr>
              <w:spacing w:line="360" w:lineRule="auto"/>
              <w:rPr>
                <w:rFonts w:cs="Arial"/>
                <w:szCs w:val="24"/>
              </w:rPr>
            </w:pPr>
            <w:r w:rsidRPr="002B61DF">
              <w:rPr>
                <w:rFonts w:cs="Arial"/>
                <w:szCs w:val="24"/>
              </w:rPr>
              <w:t>62%</w:t>
            </w:r>
          </w:p>
        </w:tc>
        <w:tc>
          <w:tcPr>
            <w:tcW w:w="1568" w:type="dxa"/>
            <w:vAlign w:val="center"/>
          </w:tcPr>
          <w:p w14:paraId="05678FC2" w14:textId="77777777" w:rsidR="00475888" w:rsidRPr="002B61DF" w:rsidRDefault="00000000" w:rsidP="002B61DF">
            <w:pPr>
              <w:spacing w:line="360" w:lineRule="auto"/>
              <w:rPr>
                <w:rFonts w:cs="Arial"/>
                <w:szCs w:val="24"/>
              </w:rPr>
            </w:pPr>
            <w:r w:rsidRPr="002B61DF">
              <w:rPr>
                <w:rFonts w:cs="Arial"/>
                <w:szCs w:val="24"/>
              </w:rPr>
              <w:t>A$93,000</w:t>
            </w:r>
          </w:p>
        </w:tc>
        <w:tc>
          <w:tcPr>
            <w:tcW w:w="1568" w:type="dxa"/>
            <w:vAlign w:val="center"/>
          </w:tcPr>
          <w:p w14:paraId="7102A83E" w14:textId="77777777" w:rsidR="00475888" w:rsidRPr="002B61DF" w:rsidRDefault="00000000" w:rsidP="002B61DF">
            <w:pPr>
              <w:spacing w:line="360" w:lineRule="auto"/>
              <w:rPr>
                <w:rFonts w:cs="Arial"/>
                <w:szCs w:val="24"/>
              </w:rPr>
            </w:pPr>
            <w:r w:rsidRPr="002B61DF">
              <w:rPr>
                <w:rFonts w:cs="Arial"/>
                <w:szCs w:val="24"/>
              </w:rPr>
              <w:t>A$36.34</w:t>
            </w:r>
          </w:p>
        </w:tc>
        <w:tc>
          <w:tcPr>
            <w:tcW w:w="1568" w:type="dxa"/>
            <w:vAlign w:val="center"/>
          </w:tcPr>
          <w:p w14:paraId="0DFD3728" w14:textId="77777777" w:rsidR="00475888" w:rsidRPr="002B61DF" w:rsidRDefault="00000000" w:rsidP="002B61DF">
            <w:pPr>
              <w:spacing w:line="360" w:lineRule="auto"/>
              <w:rPr>
                <w:rFonts w:cs="Arial"/>
                <w:szCs w:val="24"/>
              </w:rPr>
            </w:pPr>
            <w:r w:rsidRPr="002B61DF">
              <w:rPr>
                <w:rFonts w:cs="Arial"/>
                <w:szCs w:val="24"/>
              </w:rPr>
              <w:t>2,559</w:t>
            </w:r>
          </w:p>
        </w:tc>
        <w:tc>
          <w:tcPr>
            <w:tcW w:w="1568" w:type="dxa"/>
            <w:vAlign w:val="center"/>
          </w:tcPr>
          <w:p w14:paraId="4639AAE9" w14:textId="77777777" w:rsidR="00475888" w:rsidRPr="002B61DF" w:rsidRDefault="00000000" w:rsidP="002B61DF">
            <w:pPr>
              <w:spacing w:line="360" w:lineRule="auto"/>
              <w:rPr>
                <w:rFonts w:cs="Arial"/>
                <w:szCs w:val="24"/>
              </w:rPr>
            </w:pPr>
            <w:r w:rsidRPr="002B61DF">
              <w:rPr>
                <w:rFonts w:cs="Arial"/>
                <w:szCs w:val="24"/>
              </w:rPr>
              <w:t>A$92,994.06</w:t>
            </w:r>
          </w:p>
        </w:tc>
      </w:tr>
      <w:tr w:rsidR="00475888" w:rsidRPr="002B61DF" w14:paraId="7BD32057" w14:textId="77777777">
        <w:trPr>
          <w:jc w:val="center"/>
        </w:trPr>
        <w:tc>
          <w:tcPr>
            <w:tcW w:w="1568" w:type="dxa"/>
            <w:vAlign w:val="center"/>
          </w:tcPr>
          <w:p w14:paraId="1CA24882" w14:textId="77777777" w:rsidR="00475888" w:rsidRPr="002B61DF" w:rsidRDefault="00000000" w:rsidP="002B61DF">
            <w:pPr>
              <w:spacing w:line="360" w:lineRule="auto"/>
              <w:rPr>
                <w:rFonts w:cs="Arial"/>
                <w:szCs w:val="24"/>
              </w:rPr>
            </w:pPr>
            <w:r w:rsidRPr="002B61DF">
              <w:rPr>
                <w:rFonts w:cs="Arial"/>
                <w:szCs w:val="24"/>
              </w:rPr>
              <w:t>CSL</w:t>
            </w:r>
          </w:p>
        </w:tc>
        <w:tc>
          <w:tcPr>
            <w:tcW w:w="1568" w:type="dxa"/>
            <w:vAlign w:val="center"/>
          </w:tcPr>
          <w:p w14:paraId="18C466F7" w14:textId="77777777" w:rsidR="00475888" w:rsidRPr="002B61DF" w:rsidRDefault="00000000" w:rsidP="002B61DF">
            <w:pPr>
              <w:spacing w:line="360" w:lineRule="auto"/>
              <w:rPr>
                <w:rFonts w:cs="Arial"/>
                <w:szCs w:val="24"/>
              </w:rPr>
            </w:pPr>
            <w:r w:rsidRPr="002B61DF">
              <w:rPr>
                <w:rFonts w:cs="Arial"/>
                <w:szCs w:val="24"/>
              </w:rPr>
              <w:t>38%</w:t>
            </w:r>
          </w:p>
        </w:tc>
        <w:tc>
          <w:tcPr>
            <w:tcW w:w="1568" w:type="dxa"/>
            <w:vAlign w:val="center"/>
          </w:tcPr>
          <w:p w14:paraId="41AECD00" w14:textId="77777777" w:rsidR="00475888" w:rsidRPr="002B61DF" w:rsidRDefault="00000000" w:rsidP="002B61DF">
            <w:pPr>
              <w:spacing w:line="360" w:lineRule="auto"/>
              <w:rPr>
                <w:rFonts w:cs="Arial"/>
                <w:szCs w:val="24"/>
              </w:rPr>
            </w:pPr>
            <w:r w:rsidRPr="002B61DF">
              <w:rPr>
                <w:rFonts w:cs="Arial"/>
                <w:szCs w:val="24"/>
              </w:rPr>
              <w:t>A$57,000</w:t>
            </w:r>
          </w:p>
        </w:tc>
        <w:tc>
          <w:tcPr>
            <w:tcW w:w="1568" w:type="dxa"/>
            <w:vAlign w:val="center"/>
          </w:tcPr>
          <w:p w14:paraId="69FB4679" w14:textId="77777777" w:rsidR="00475888" w:rsidRPr="002B61DF" w:rsidRDefault="00000000" w:rsidP="002B61DF">
            <w:pPr>
              <w:spacing w:line="360" w:lineRule="auto"/>
              <w:rPr>
                <w:rFonts w:cs="Arial"/>
                <w:szCs w:val="24"/>
              </w:rPr>
            </w:pPr>
            <w:r w:rsidRPr="002B61DF">
              <w:rPr>
                <w:rFonts w:cs="Arial"/>
                <w:szCs w:val="24"/>
              </w:rPr>
              <w:t>A$172.65</w:t>
            </w:r>
          </w:p>
        </w:tc>
        <w:tc>
          <w:tcPr>
            <w:tcW w:w="1568" w:type="dxa"/>
            <w:vAlign w:val="center"/>
          </w:tcPr>
          <w:p w14:paraId="67CB891D" w14:textId="77777777" w:rsidR="00475888" w:rsidRPr="002B61DF" w:rsidRDefault="00000000" w:rsidP="002B61DF">
            <w:pPr>
              <w:spacing w:line="360" w:lineRule="auto"/>
              <w:rPr>
                <w:rFonts w:cs="Arial"/>
                <w:szCs w:val="24"/>
              </w:rPr>
            </w:pPr>
            <w:r w:rsidRPr="002B61DF">
              <w:rPr>
                <w:rFonts w:cs="Arial"/>
                <w:szCs w:val="24"/>
              </w:rPr>
              <w:t>330</w:t>
            </w:r>
          </w:p>
        </w:tc>
        <w:tc>
          <w:tcPr>
            <w:tcW w:w="1568" w:type="dxa"/>
            <w:vAlign w:val="center"/>
          </w:tcPr>
          <w:p w14:paraId="065812BA" w14:textId="77777777" w:rsidR="00475888" w:rsidRPr="002B61DF" w:rsidRDefault="00000000" w:rsidP="002B61DF">
            <w:pPr>
              <w:spacing w:line="360" w:lineRule="auto"/>
              <w:rPr>
                <w:rFonts w:cs="Arial"/>
                <w:szCs w:val="24"/>
              </w:rPr>
            </w:pPr>
            <w:r w:rsidRPr="002B61DF">
              <w:rPr>
                <w:rFonts w:cs="Arial"/>
                <w:szCs w:val="24"/>
              </w:rPr>
              <w:t>A$56,974.50</w:t>
            </w:r>
          </w:p>
        </w:tc>
      </w:tr>
      <w:tr w:rsidR="00475888" w:rsidRPr="002B61DF" w14:paraId="078AD361" w14:textId="77777777">
        <w:trPr>
          <w:jc w:val="center"/>
        </w:trPr>
        <w:tc>
          <w:tcPr>
            <w:tcW w:w="1568" w:type="dxa"/>
            <w:vAlign w:val="center"/>
          </w:tcPr>
          <w:p w14:paraId="6D8CA157" w14:textId="77777777" w:rsidR="00475888" w:rsidRPr="002B61DF" w:rsidRDefault="00000000" w:rsidP="002B61DF">
            <w:pPr>
              <w:spacing w:line="360" w:lineRule="auto"/>
              <w:rPr>
                <w:rFonts w:cs="Arial"/>
                <w:szCs w:val="24"/>
              </w:rPr>
            </w:pPr>
            <w:r w:rsidRPr="002B61DF">
              <w:rPr>
                <w:rFonts w:cs="Arial"/>
                <w:szCs w:val="24"/>
              </w:rPr>
              <w:t>Cash residual</w:t>
            </w:r>
          </w:p>
        </w:tc>
        <w:tc>
          <w:tcPr>
            <w:tcW w:w="1568" w:type="dxa"/>
            <w:vAlign w:val="center"/>
          </w:tcPr>
          <w:p w14:paraId="47166A7C" w14:textId="77777777" w:rsidR="00475888" w:rsidRPr="002B61DF" w:rsidRDefault="00000000" w:rsidP="002B61DF">
            <w:pPr>
              <w:spacing w:line="360" w:lineRule="auto"/>
              <w:rPr>
                <w:rFonts w:cs="Arial"/>
                <w:szCs w:val="24"/>
              </w:rPr>
            </w:pPr>
            <w:r w:rsidRPr="002B61DF">
              <w:rPr>
                <w:rFonts w:cs="Arial"/>
                <w:szCs w:val="24"/>
              </w:rPr>
              <w:t>-</w:t>
            </w:r>
          </w:p>
        </w:tc>
        <w:tc>
          <w:tcPr>
            <w:tcW w:w="1568" w:type="dxa"/>
            <w:vAlign w:val="center"/>
          </w:tcPr>
          <w:p w14:paraId="41FFF5D5" w14:textId="77777777" w:rsidR="00475888" w:rsidRPr="002B61DF" w:rsidRDefault="00000000" w:rsidP="002B61DF">
            <w:pPr>
              <w:spacing w:line="360" w:lineRule="auto"/>
              <w:rPr>
                <w:rFonts w:cs="Arial"/>
                <w:szCs w:val="24"/>
              </w:rPr>
            </w:pPr>
            <w:r w:rsidRPr="002B61DF">
              <w:rPr>
                <w:rFonts w:cs="Arial"/>
                <w:szCs w:val="24"/>
              </w:rPr>
              <w:t>-</w:t>
            </w:r>
          </w:p>
        </w:tc>
        <w:tc>
          <w:tcPr>
            <w:tcW w:w="1568" w:type="dxa"/>
            <w:vAlign w:val="center"/>
          </w:tcPr>
          <w:p w14:paraId="1386BD9B" w14:textId="77777777" w:rsidR="00475888" w:rsidRPr="002B61DF" w:rsidRDefault="00000000" w:rsidP="002B61DF">
            <w:pPr>
              <w:spacing w:line="360" w:lineRule="auto"/>
              <w:rPr>
                <w:rFonts w:cs="Arial"/>
                <w:szCs w:val="24"/>
              </w:rPr>
            </w:pPr>
            <w:r w:rsidRPr="002B61DF">
              <w:rPr>
                <w:rFonts w:cs="Arial"/>
                <w:szCs w:val="24"/>
              </w:rPr>
              <w:t>-</w:t>
            </w:r>
          </w:p>
        </w:tc>
        <w:tc>
          <w:tcPr>
            <w:tcW w:w="1568" w:type="dxa"/>
            <w:vAlign w:val="center"/>
          </w:tcPr>
          <w:p w14:paraId="332492E4" w14:textId="77777777" w:rsidR="00475888" w:rsidRPr="002B61DF" w:rsidRDefault="00000000" w:rsidP="002B61DF">
            <w:pPr>
              <w:spacing w:line="360" w:lineRule="auto"/>
              <w:rPr>
                <w:rFonts w:cs="Arial"/>
                <w:szCs w:val="24"/>
              </w:rPr>
            </w:pPr>
            <w:r w:rsidRPr="002B61DF">
              <w:rPr>
                <w:rFonts w:cs="Arial"/>
                <w:szCs w:val="24"/>
              </w:rPr>
              <w:t>-</w:t>
            </w:r>
          </w:p>
        </w:tc>
        <w:tc>
          <w:tcPr>
            <w:tcW w:w="1568" w:type="dxa"/>
            <w:vAlign w:val="center"/>
          </w:tcPr>
          <w:p w14:paraId="1D23F56B" w14:textId="77777777" w:rsidR="00475888" w:rsidRPr="002B61DF" w:rsidRDefault="00000000" w:rsidP="002B61DF">
            <w:pPr>
              <w:spacing w:line="360" w:lineRule="auto"/>
              <w:rPr>
                <w:rFonts w:cs="Arial"/>
                <w:szCs w:val="24"/>
              </w:rPr>
            </w:pPr>
            <w:r w:rsidRPr="002B61DF">
              <w:rPr>
                <w:rFonts w:cs="Arial"/>
                <w:szCs w:val="24"/>
              </w:rPr>
              <w:t>A$31.44</w:t>
            </w:r>
          </w:p>
        </w:tc>
      </w:tr>
    </w:tbl>
    <w:p w14:paraId="73DBEAFB" w14:textId="5DAD51F3" w:rsidR="00475888" w:rsidRPr="002B61DF" w:rsidRDefault="00000000" w:rsidP="002B61DF">
      <w:pPr>
        <w:spacing w:after="120" w:line="360" w:lineRule="auto"/>
        <w:jc w:val="center"/>
        <w:rPr>
          <w:rFonts w:cs="Arial"/>
          <w:szCs w:val="24"/>
        </w:rPr>
      </w:pPr>
      <w:r w:rsidRPr="002B61DF">
        <w:rPr>
          <w:rFonts w:cs="Arial"/>
          <w:i/>
          <w:szCs w:val="24"/>
        </w:rPr>
        <w:t>Source: author calculations.</w:t>
      </w:r>
    </w:p>
    <w:p w14:paraId="56D2889B" w14:textId="77777777" w:rsidR="00475888" w:rsidRPr="002B61DF" w:rsidRDefault="00000000" w:rsidP="002B61DF">
      <w:pPr>
        <w:pStyle w:val="Heading1"/>
      </w:pPr>
      <w:bookmarkStart w:id="12" w:name="_Toc229524584"/>
      <w:r w:rsidRPr="002B61DF">
        <w:t>Sensitivity analysis of optimal weights</w:t>
      </w:r>
      <w:bookmarkEnd w:id="12"/>
    </w:p>
    <w:p w14:paraId="2DBAED5D" w14:textId="6D5D6972" w:rsidR="00EF1BF3" w:rsidRPr="002B61DF" w:rsidRDefault="00B277DB" w:rsidP="002B61DF">
      <w:pPr>
        <w:spacing w:after="160" w:line="360" w:lineRule="auto"/>
        <w:jc w:val="both"/>
        <w:rPr>
          <w:rFonts w:cs="Arial"/>
        </w:rPr>
      </w:pPr>
      <w:r w:rsidRPr="002B61DF">
        <w:rPr>
          <w:rFonts w:cs="Arial"/>
        </w:rPr>
        <w:t xml:space="preserve">This is mainly due to estimation risk; hence returns should be stress-tested. A sensitivity analysis confirms the recommendation but not it is binding. A 1 per cent drop in the expected return on ANZ leads the optimal ANZ weight to drop from 62 per cent to 59 per cent. The optimal ANZ weight would increase to 68 per cent if the expected return for CSL falls by 2 percentage points. Once CSL recovers by 2 percentage points, then the weight of the ANZ will drop to 56 per cent. The key takeaway is that the majority continues to be ANZ in all the scenarios </w:t>
      </w:r>
      <w:proofErr w:type="spellStart"/>
      <w:r w:rsidRPr="002B61DF">
        <w:rPr>
          <w:rFonts w:cs="Arial"/>
        </w:rPr>
        <w:t>analysed</w:t>
      </w:r>
      <w:proofErr w:type="spellEnd"/>
      <w:r w:rsidRPr="002B61DF">
        <w:rPr>
          <w:rFonts w:cs="Arial"/>
        </w:rPr>
        <w:t xml:space="preserve"> and the CSL share is between 32 per cent and 44 per cent. This is because this is not based on any single fragile point estimate.</w:t>
      </w:r>
    </w:p>
    <w:p w14:paraId="53420082" w14:textId="248A7068" w:rsidR="007B2E45" w:rsidRPr="002B61DF" w:rsidRDefault="007B2E45" w:rsidP="002B61DF">
      <w:pPr>
        <w:pStyle w:val="Caption"/>
        <w:keepNext/>
        <w:spacing w:line="360" w:lineRule="auto"/>
        <w:rPr>
          <w:rFonts w:cs="Arial"/>
        </w:rPr>
      </w:pPr>
      <w:bookmarkStart w:id="13" w:name="_Toc229524454"/>
      <w:r w:rsidRPr="002B61DF">
        <w:rPr>
          <w:rFonts w:cs="Arial"/>
        </w:rPr>
        <w:t xml:space="preserve">Table </w:t>
      </w:r>
      <w:r w:rsidRPr="002B61DF">
        <w:rPr>
          <w:rFonts w:cs="Arial"/>
        </w:rPr>
        <w:fldChar w:fldCharType="begin"/>
      </w:r>
      <w:r w:rsidRPr="002B61DF">
        <w:rPr>
          <w:rFonts w:cs="Arial"/>
        </w:rPr>
        <w:instrText xml:space="preserve"> SEQ Table \* ARABIC </w:instrText>
      </w:r>
      <w:r w:rsidRPr="002B61DF">
        <w:rPr>
          <w:rFonts w:cs="Arial"/>
        </w:rPr>
        <w:fldChar w:fldCharType="separate"/>
      </w:r>
      <w:r w:rsidRPr="002B61DF">
        <w:rPr>
          <w:rFonts w:cs="Arial"/>
          <w:noProof/>
        </w:rPr>
        <w:t>5</w:t>
      </w:r>
      <w:r w:rsidRPr="002B61DF">
        <w:rPr>
          <w:rFonts w:cs="Arial"/>
        </w:rPr>
        <w:fldChar w:fldCharType="end"/>
      </w:r>
      <w:r w:rsidRPr="002B61DF">
        <w:rPr>
          <w:rFonts w:cs="Arial"/>
        </w:rPr>
        <w:t xml:space="preserve"> Sensitivity of optimal weights to expected-return changes</w:t>
      </w:r>
      <w:bookmarkEnd w:id="13"/>
    </w:p>
    <w:tbl>
      <w:tblPr>
        <w:tblStyle w:val="TableGrid"/>
        <w:tblW w:w="0" w:type="auto"/>
        <w:jc w:val="center"/>
        <w:tblLook w:val="04A0" w:firstRow="1" w:lastRow="0" w:firstColumn="1" w:lastColumn="0" w:noHBand="0" w:noVBand="1"/>
      </w:tblPr>
      <w:tblGrid>
        <w:gridCol w:w="1417"/>
        <w:gridCol w:w="1344"/>
        <w:gridCol w:w="1344"/>
        <w:gridCol w:w="1344"/>
        <w:gridCol w:w="1344"/>
        <w:gridCol w:w="1344"/>
        <w:gridCol w:w="1344"/>
      </w:tblGrid>
      <w:tr w:rsidR="00475888" w:rsidRPr="002B61DF" w14:paraId="1374054B" w14:textId="77777777">
        <w:trPr>
          <w:jc w:val="center"/>
        </w:trPr>
        <w:tc>
          <w:tcPr>
            <w:tcW w:w="1344" w:type="dxa"/>
            <w:shd w:val="clear" w:color="auto" w:fill="D9EAF7"/>
            <w:vAlign w:val="center"/>
          </w:tcPr>
          <w:p w14:paraId="6721E9B6" w14:textId="77777777" w:rsidR="00475888" w:rsidRPr="002B61DF" w:rsidRDefault="00000000" w:rsidP="002B61DF">
            <w:pPr>
              <w:spacing w:line="360" w:lineRule="auto"/>
              <w:jc w:val="center"/>
              <w:rPr>
                <w:rFonts w:cs="Arial"/>
                <w:szCs w:val="24"/>
              </w:rPr>
            </w:pPr>
            <w:r w:rsidRPr="002B61DF">
              <w:rPr>
                <w:rFonts w:cs="Arial"/>
                <w:b/>
                <w:szCs w:val="24"/>
              </w:rPr>
              <w:t>Scenario</w:t>
            </w:r>
          </w:p>
        </w:tc>
        <w:tc>
          <w:tcPr>
            <w:tcW w:w="1344" w:type="dxa"/>
            <w:shd w:val="clear" w:color="auto" w:fill="D9EAF7"/>
            <w:vAlign w:val="center"/>
          </w:tcPr>
          <w:p w14:paraId="1B0FDCC9" w14:textId="77777777" w:rsidR="00475888" w:rsidRPr="002B61DF" w:rsidRDefault="00000000" w:rsidP="002B61DF">
            <w:pPr>
              <w:spacing w:line="360" w:lineRule="auto"/>
              <w:jc w:val="center"/>
              <w:rPr>
                <w:rFonts w:cs="Arial"/>
                <w:szCs w:val="24"/>
              </w:rPr>
            </w:pPr>
            <w:r w:rsidRPr="002B61DF">
              <w:rPr>
                <w:rFonts w:cs="Arial"/>
                <w:b/>
                <w:szCs w:val="24"/>
              </w:rPr>
              <w:t>ANZ expected return</w:t>
            </w:r>
          </w:p>
        </w:tc>
        <w:tc>
          <w:tcPr>
            <w:tcW w:w="1344" w:type="dxa"/>
            <w:shd w:val="clear" w:color="auto" w:fill="D9EAF7"/>
            <w:vAlign w:val="center"/>
          </w:tcPr>
          <w:p w14:paraId="4A95D38D" w14:textId="77777777" w:rsidR="00475888" w:rsidRPr="002B61DF" w:rsidRDefault="00000000" w:rsidP="002B61DF">
            <w:pPr>
              <w:spacing w:line="360" w:lineRule="auto"/>
              <w:jc w:val="center"/>
              <w:rPr>
                <w:rFonts w:cs="Arial"/>
                <w:szCs w:val="24"/>
              </w:rPr>
            </w:pPr>
            <w:r w:rsidRPr="002B61DF">
              <w:rPr>
                <w:rFonts w:cs="Arial"/>
                <w:b/>
                <w:szCs w:val="24"/>
              </w:rPr>
              <w:t>CSL expected return</w:t>
            </w:r>
          </w:p>
        </w:tc>
        <w:tc>
          <w:tcPr>
            <w:tcW w:w="1344" w:type="dxa"/>
            <w:shd w:val="clear" w:color="auto" w:fill="D9EAF7"/>
            <w:vAlign w:val="center"/>
          </w:tcPr>
          <w:p w14:paraId="70E19B77" w14:textId="77777777" w:rsidR="00475888" w:rsidRPr="002B61DF" w:rsidRDefault="00000000" w:rsidP="002B61DF">
            <w:pPr>
              <w:spacing w:line="360" w:lineRule="auto"/>
              <w:jc w:val="center"/>
              <w:rPr>
                <w:rFonts w:cs="Arial"/>
                <w:szCs w:val="24"/>
              </w:rPr>
            </w:pPr>
            <w:r w:rsidRPr="002B61DF">
              <w:rPr>
                <w:rFonts w:cs="Arial"/>
                <w:b/>
                <w:szCs w:val="24"/>
              </w:rPr>
              <w:t>Optimal ANZ / CSL weight</w:t>
            </w:r>
          </w:p>
        </w:tc>
        <w:tc>
          <w:tcPr>
            <w:tcW w:w="1344" w:type="dxa"/>
            <w:shd w:val="clear" w:color="auto" w:fill="D9EAF7"/>
            <w:vAlign w:val="center"/>
          </w:tcPr>
          <w:p w14:paraId="1A161CDE" w14:textId="77777777" w:rsidR="00475888" w:rsidRPr="002B61DF" w:rsidRDefault="00000000" w:rsidP="002B61DF">
            <w:pPr>
              <w:spacing w:line="360" w:lineRule="auto"/>
              <w:jc w:val="center"/>
              <w:rPr>
                <w:rFonts w:cs="Arial"/>
                <w:szCs w:val="24"/>
              </w:rPr>
            </w:pPr>
            <w:r w:rsidRPr="002B61DF">
              <w:rPr>
                <w:rFonts w:cs="Arial"/>
                <w:b/>
                <w:szCs w:val="24"/>
              </w:rPr>
              <w:t>E(Rp)</w:t>
            </w:r>
          </w:p>
        </w:tc>
        <w:tc>
          <w:tcPr>
            <w:tcW w:w="1344" w:type="dxa"/>
            <w:shd w:val="clear" w:color="auto" w:fill="D9EAF7"/>
            <w:vAlign w:val="center"/>
          </w:tcPr>
          <w:p w14:paraId="5D5E350E" w14:textId="77777777" w:rsidR="00475888" w:rsidRPr="002B61DF" w:rsidRDefault="00000000" w:rsidP="002B61DF">
            <w:pPr>
              <w:spacing w:line="360" w:lineRule="auto"/>
              <w:jc w:val="center"/>
              <w:rPr>
                <w:rFonts w:cs="Arial"/>
                <w:szCs w:val="24"/>
              </w:rPr>
            </w:pPr>
            <w:proofErr w:type="spellStart"/>
            <w:r w:rsidRPr="002B61DF">
              <w:rPr>
                <w:rFonts w:cs="Arial"/>
                <w:b/>
                <w:szCs w:val="24"/>
              </w:rPr>
              <w:t>σp</w:t>
            </w:r>
            <w:proofErr w:type="spellEnd"/>
          </w:p>
        </w:tc>
        <w:tc>
          <w:tcPr>
            <w:tcW w:w="1344" w:type="dxa"/>
            <w:shd w:val="clear" w:color="auto" w:fill="D9EAF7"/>
            <w:vAlign w:val="center"/>
          </w:tcPr>
          <w:p w14:paraId="02265413" w14:textId="77777777" w:rsidR="00475888" w:rsidRPr="002B61DF" w:rsidRDefault="00000000" w:rsidP="002B61DF">
            <w:pPr>
              <w:spacing w:line="360" w:lineRule="auto"/>
              <w:jc w:val="center"/>
              <w:rPr>
                <w:rFonts w:cs="Arial"/>
                <w:szCs w:val="24"/>
              </w:rPr>
            </w:pPr>
            <w:r w:rsidRPr="002B61DF">
              <w:rPr>
                <w:rFonts w:cs="Arial"/>
                <w:b/>
                <w:szCs w:val="24"/>
              </w:rPr>
              <w:t>Utility</w:t>
            </w:r>
          </w:p>
        </w:tc>
      </w:tr>
      <w:tr w:rsidR="00475888" w:rsidRPr="002B61DF" w14:paraId="7B0AC89A" w14:textId="77777777">
        <w:trPr>
          <w:jc w:val="center"/>
        </w:trPr>
        <w:tc>
          <w:tcPr>
            <w:tcW w:w="1344" w:type="dxa"/>
            <w:vAlign w:val="center"/>
          </w:tcPr>
          <w:p w14:paraId="64FBBE0D" w14:textId="77777777" w:rsidR="00475888" w:rsidRPr="002B61DF" w:rsidRDefault="00000000" w:rsidP="002B61DF">
            <w:pPr>
              <w:spacing w:line="360" w:lineRule="auto"/>
              <w:rPr>
                <w:rFonts w:cs="Arial"/>
                <w:szCs w:val="24"/>
              </w:rPr>
            </w:pPr>
            <w:r w:rsidRPr="002B61DF">
              <w:rPr>
                <w:rFonts w:cs="Arial"/>
                <w:szCs w:val="24"/>
              </w:rPr>
              <w:t>Base case</w:t>
            </w:r>
          </w:p>
        </w:tc>
        <w:tc>
          <w:tcPr>
            <w:tcW w:w="1344" w:type="dxa"/>
            <w:vAlign w:val="center"/>
          </w:tcPr>
          <w:p w14:paraId="28B6E538" w14:textId="77777777" w:rsidR="00475888" w:rsidRPr="002B61DF" w:rsidRDefault="00000000" w:rsidP="002B61DF">
            <w:pPr>
              <w:spacing w:line="360" w:lineRule="auto"/>
              <w:rPr>
                <w:rFonts w:cs="Arial"/>
                <w:szCs w:val="24"/>
              </w:rPr>
            </w:pPr>
            <w:r w:rsidRPr="002B61DF">
              <w:rPr>
                <w:rFonts w:cs="Arial"/>
                <w:szCs w:val="24"/>
              </w:rPr>
              <w:t>10.50%</w:t>
            </w:r>
          </w:p>
        </w:tc>
        <w:tc>
          <w:tcPr>
            <w:tcW w:w="1344" w:type="dxa"/>
            <w:vAlign w:val="center"/>
          </w:tcPr>
          <w:p w14:paraId="0B846FC9" w14:textId="77777777" w:rsidR="00475888" w:rsidRPr="002B61DF" w:rsidRDefault="00000000" w:rsidP="002B61DF">
            <w:pPr>
              <w:spacing w:line="360" w:lineRule="auto"/>
              <w:rPr>
                <w:rFonts w:cs="Arial"/>
                <w:szCs w:val="24"/>
              </w:rPr>
            </w:pPr>
            <w:r w:rsidRPr="002B61DF">
              <w:rPr>
                <w:rFonts w:cs="Arial"/>
                <w:szCs w:val="24"/>
              </w:rPr>
              <w:t>12.00%</w:t>
            </w:r>
          </w:p>
        </w:tc>
        <w:tc>
          <w:tcPr>
            <w:tcW w:w="1344" w:type="dxa"/>
            <w:vAlign w:val="center"/>
          </w:tcPr>
          <w:p w14:paraId="72C12EB5" w14:textId="77777777" w:rsidR="00475888" w:rsidRPr="002B61DF" w:rsidRDefault="00000000" w:rsidP="002B61DF">
            <w:pPr>
              <w:spacing w:line="360" w:lineRule="auto"/>
              <w:rPr>
                <w:rFonts w:cs="Arial"/>
                <w:szCs w:val="24"/>
              </w:rPr>
            </w:pPr>
            <w:r w:rsidRPr="002B61DF">
              <w:rPr>
                <w:rFonts w:cs="Arial"/>
                <w:szCs w:val="24"/>
              </w:rPr>
              <w:t>62% / 38%</w:t>
            </w:r>
          </w:p>
        </w:tc>
        <w:tc>
          <w:tcPr>
            <w:tcW w:w="1344" w:type="dxa"/>
            <w:vAlign w:val="center"/>
          </w:tcPr>
          <w:p w14:paraId="7829DAE6" w14:textId="77777777" w:rsidR="00475888" w:rsidRPr="002B61DF" w:rsidRDefault="00000000" w:rsidP="002B61DF">
            <w:pPr>
              <w:spacing w:line="360" w:lineRule="auto"/>
              <w:rPr>
                <w:rFonts w:cs="Arial"/>
                <w:szCs w:val="24"/>
              </w:rPr>
            </w:pPr>
            <w:r w:rsidRPr="002B61DF">
              <w:rPr>
                <w:rFonts w:cs="Arial"/>
                <w:szCs w:val="24"/>
              </w:rPr>
              <w:t>11.07%</w:t>
            </w:r>
          </w:p>
        </w:tc>
        <w:tc>
          <w:tcPr>
            <w:tcW w:w="1344" w:type="dxa"/>
            <w:vAlign w:val="center"/>
          </w:tcPr>
          <w:p w14:paraId="78BFA136" w14:textId="77777777" w:rsidR="00475888" w:rsidRPr="002B61DF" w:rsidRDefault="00000000" w:rsidP="002B61DF">
            <w:pPr>
              <w:spacing w:line="360" w:lineRule="auto"/>
              <w:rPr>
                <w:rFonts w:cs="Arial"/>
                <w:szCs w:val="24"/>
              </w:rPr>
            </w:pPr>
            <w:r w:rsidRPr="002B61DF">
              <w:rPr>
                <w:rFonts w:cs="Arial"/>
                <w:szCs w:val="24"/>
              </w:rPr>
              <w:t>11.40%</w:t>
            </w:r>
          </w:p>
        </w:tc>
        <w:tc>
          <w:tcPr>
            <w:tcW w:w="1344" w:type="dxa"/>
            <w:vAlign w:val="center"/>
          </w:tcPr>
          <w:p w14:paraId="6A9897F7" w14:textId="77777777" w:rsidR="00475888" w:rsidRPr="002B61DF" w:rsidRDefault="00000000" w:rsidP="002B61DF">
            <w:pPr>
              <w:spacing w:line="360" w:lineRule="auto"/>
              <w:rPr>
                <w:rFonts w:cs="Arial"/>
                <w:szCs w:val="24"/>
              </w:rPr>
            </w:pPr>
            <w:r w:rsidRPr="002B61DF">
              <w:rPr>
                <w:rFonts w:cs="Arial"/>
                <w:szCs w:val="24"/>
              </w:rPr>
              <w:t>0.0847</w:t>
            </w:r>
          </w:p>
        </w:tc>
      </w:tr>
      <w:tr w:rsidR="00475888" w:rsidRPr="002B61DF" w14:paraId="11EE20FC" w14:textId="77777777">
        <w:trPr>
          <w:jc w:val="center"/>
        </w:trPr>
        <w:tc>
          <w:tcPr>
            <w:tcW w:w="1344" w:type="dxa"/>
            <w:vAlign w:val="center"/>
          </w:tcPr>
          <w:p w14:paraId="67BEAF08" w14:textId="77777777" w:rsidR="00475888" w:rsidRPr="002B61DF" w:rsidRDefault="00000000" w:rsidP="002B61DF">
            <w:pPr>
              <w:spacing w:line="360" w:lineRule="auto"/>
              <w:rPr>
                <w:rFonts w:cs="Arial"/>
                <w:szCs w:val="24"/>
              </w:rPr>
            </w:pPr>
            <w:r w:rsidRPr="002B61DF">
              <w:rPr>
                <w:rFonts w:cs="Arial"/>
                <w:szCs w:val="24"/>
              </w:rPr>
              <w:lastRenderedPageBreak/>
              <w:t>ANZ -1 percentage point</w:t>
            </w:r>
          </w:p>
        </w:tc>
        <w:tc>
          <w:tcPr>
            <w:tcW w:w="1344" w:type="dxa"/>
            <w:vAlign w:val="center"/>
          </w:tcPr>
          <w:p w14:paraId="194DC61C" w14:textId="77777777" w:rsidR="00475888" w:rsidRPr="002B61DF" w:rsidRDefault="00000000" w:rsidP="002B61DF">
            <w:pPr>
              <w:spacing w:line="360" w:lineRule="auto"/>
              <w:rPr>
                <w:rFonts w:cs="Arial"/>
                <w:szCs w:val="24"/>
              </w:rPr>
            </w:pPr>
            <w:r w:rsidRPr="002B61DF">
              <w:rPr>
                <w:rFonts w:cs="Arial"/>
                <w:szCs w:val="24"/>
              </w:rPr>
              <w:t>9.50%</w:t>
            </w:r>
          </w:p>
        </w:tc>
        <w:tc>
          <w:tcPr>
            <w:tcW w:w="1344" w:type="dxa"/>
            <w:vAlign w:val="center"/>
          </w:tcPr>
          <w:p w14:paraId="57B5F1D8" w14:textId="77777777" w:rsidR="00475888" w:rsidRPr="002B61DF" w:rsidRDefault="00000000" w:rsidP="002B61DF">
            <w:pPr>
              <w:spacing w:line="360" w:lineRule="auto"/>
              <w:rPr>
                <w:rFonts w:cs="Arial"/>
                <w:szCs w:val="24"/>
              </w:rPr>
            </w:pPr>
            <w:r w:rsidRPr="002B61DF">
              <w:rPr>
                <w:rFonts w:cs="Arial"/>
                <w:szCs w:val="24"/>
              </w:rPr>
              <w:t>12.00%</w:t>
            </w:r>
          </w:p>
        </w:tc>
        <w:tc>
          <w:tcPr>
            <w:tcW w:w="1344" w:type="dxa"/>
            <w:vAlign w:val="center"/>
          </w:tcPr>
          <w:p w14:paraId="7A0BC4DB" w14:textId="77777777" w:rsidR="00475888" w:rsidRPr="002B61DF" w:rsidRDefault="00000000" w:rsidP="002B61DF">
            <w:pPr>
              <w:spacing w:line="360" w:lineRule="auto"/>
              <w:rPr>
                <w:rFonts w:cs="Arial"/>
                <w:szCs w:val="24"/>
              </w:rPr>
            </w:pPr>
            <w:r w:rsidRPr="002B61DF">
              <w:rPr>
                <w:rFonts w:cs="Arial"/>
                <w:szCs w:val="24"/>
              </w:rPr>
              <w:t>59% / 41%</w:t>
            </w:r>
          </w:p>
        </w:tc>
        <w:tc>
          <w:tcPr>
            <w:tcW w:w="1344" w:type="dxa"/>
            <w:vAlign w:val="center"/>
          </w:tcPr>
          <w:p w14:paraId="308BFA26" w14:textId="77777777" w:rsidR="00475888" w:rsidRPr="002B61DF" w:rsidRDefault="00000000" w:rsidP="002B61DF">
            <w:pPr>
              <w:spacing w:line="360" w:lineRule="auto"/>
              <w:rPr>
                <w:rFonts w:cs="Arial"/>
                <w:szCs w:val="24"/>
              </w:rPr>
            </w:pPr>
            <w:r w:rsidRPr="002B61DF">
              <w:rPr>
                <w:rFonts w:cs="Arial"/>
                <w:szCs w:val="24"/>
              </w:rPr>
              <w:t>10.53%</w:t>
            </w:r>
          </w:p>
        </w:tc>
        <w:tc>
          <w:tcPr>
            <w:tcW w:w="1344" w:type="dxa"/>
            <w:vAlign w:val="center"/>
          </w:tcPr>
          <w:p w14:paraId="05084F90" w14:textId="77777777" w:rsidR="00475888" w:rsidRPr="002B61DF" w:rsidRDefault="00000000" w:rsidP="002B61DF">
            <w:pPr>
              <w:spacing w:line="360" w:lineRule="auto"/>
              <w:rPr>
                <w:rFonts w:cs="Arial"/>
                <w:szCs w:val="24"/>
              </w:rPr>
            </w:pPr>
            <w:r w:rsidRPr="002B61DF">
              <w:rPr>
                <w:rFonts w:cs="Arial"/>
                <w:szCs w:val="24"/>
              </w:rPr>
              <w:t>11.54%</w:t>
            </w:r>
          </w:p>
        </w:tc>
        <w:tc>
          <w:tcPr>
            <w:tcW w:w="1344" w:type="dxa"/>
            <w:vAlign w:val="center"/>
          </w:tcPr>
          <w:p w14:paraId="2AE0ECEE" w14:textId="77777777" w:rsidR="00475888" w:rsidRPr="002B61DF" w:rsidRDefault="00000000" w:rsidP="002B61DF">
            <w:pPr>
              <w:spacing w:line="360" w:lineRule="auto"/>
              <w:rPr>
                <w:rFonts w:cs="Arial"/>
                <w:szCs w:val="24"/>
              </w:rPr>
            </w:pPr>
            <w:r w:rsidRPr="002B61DF">
              <w:rPr>
                <w:rFonts w:cs="Arial"/>
                <w:szCs w:val="24"/>
              </w:rPr>
              <w:t>0.0786</w:t>
            </w:r>
          </w:p>
        </w:tc>
      </w:tr>
      <w:tr w:rsidR="00475888" w:rsidRPr="002B61DF" w14:paraId="699E3843" w14:textId="77777777">
        <w:trPr>
          <w:jc w:val="center"/>
        </w:trPr>
        <w:tc>
          <w:tcPr>
            <w:tcW w:w="1344" w:type="dxa"/>
            <w:vAlign w:val="center"/>
          </w:tcPr>
          <w:p w14:paraId="777411B3" w14:textId="77777777" w:rsidR="00475888" w:rsidRPr="002B61DF" w:rsidRDefault="00000000" w:rsidP="002B61DF">
            <w:pPr>
              <w:spacing w:line="360" w:lineRule="auto"/>
              <w:rPr>
                <w:rFonts w:cs="Arial"/>
                <w:szCs w:val="24"/>
              </w:rPr>
            </w:pPr>
            <w:r w:rsidRPr="002B61DF">
              <w:rPr>
                <w:rFonts w:cs="Arial"/>
                <w:szCs w:val="24"/>
              </w:rPr>
              <w:t>ANZ +1 percentage point</w:t>
            </w:r>
          </w:p>
        </w:tc>
        <w:tc>
          <w:tcPr>
            <w:tcW w:w="1344" w:type="dxa"/>
            <w:vAlign w:val="center"/>
          </w:tcPr>
          <w:p w14:paraId="3AD7FC09" w14:textId="77777777" w:rsidR="00475888" w:rsidRPr="002B61DF" w:rsidRDefault="00000000" w:rsidP="002B61DF">
            <w:pPr>
              <w:spacing w:line="360" w:lineRule="auto"/>
              <w:rPr>
                <w:rFonts w:cs="Arial"/>
                <w:szCs w:val="24"/>
              </w:rPr>
            </w:pPr>
            <w:r w:rsidRPr="002B61DF">
              <w:rPr>
                <w:rFonts w:cs="Arial"/>
                <w:szCs w:val="24"/>
              </w:rPr>
              <w:t>11.50%</w:t>
            </w:r>
          </w:p>
        </w:tc>
        <w:tc>
          <w:tcPr>
            <w:tcW w:w="1344" w:type="dxa"/>
            <w:vAlign w:val="center"/>
          </w:tcPr>
          <w:p w14:paraId="0AECB06D" w14:textId="77777777" w:rsidR="00475888" w:rsidRPr="002B61DF" w:rsidRDefault="00000000" w:rsidP="002B61DF">
            <w:pPr>
              <w:spacing w:line="360" w:lineRule="auto"/>
              <w:rPr>
                <w:rFonts w:cs="Arial"/>
                <w:szCs w:val="24"/>
              </w:rPr>
            </w:pPr>
            <w:r w:rsidRPr="002B61DF">
              <w:rPr>
                <w:rFonts w:cs="Arial"/>
                <w:szCs w:val="24"/>
              </w:rPr>
              <w:t>12.00%</w:t>
            </w:r>
          </w:p>
        </w:tc>
        <w:tc>
          <w:tcPr>
            <w:tcW w:w="1344" w:type="dxa"/>
            <w:vAlign w:val="center"/>
          </w:tcPr>
          <w:p w14:paraId="35390031" w14:textId="77777777" w:rsidR="00475888" w:rsidRPr="002B61DF" w:rsidRDefault="00000000" w:rsidP="002B61DF">
            <w:pPr>
              <w:spacing w:line="360" w:lineRule="auto"/>
              <w:rPr>
                <w:rFonts w:cs="Arial"/>
                <w:szCs w:val="24"/>
              </w:rPr>
            </w:pPr>
            <w:r w:rsidRPr="002B61DF">
              <w:rPr>
                <w:rFonts w:cs="Arial"/>
                <w:szCs w:val="24"/>
              </w:rPr>
              <w:t>65% / 35%</w:t>
            </w:r>
          </w:p>
        </w:tc>
        <w:tc>
          <w:tcPr>
            <w:tcW w:w="1344" w:type="dxa"/>
            <w:vAlign w:val="center"/>
          </w:tcPr>
          <w:p w14:paraId="66C93349" w14:textId="77777777" w:rsidR="00475888" w:rsidRPr="002B61DF" w:rsidRDefault="00000000" w:rsidP="002B61DF">
            <w:pPr>
              <w:spacing w:line="360" w:lineRule="auto"/>
              <w:rPr>
                <w:rFonts w:cs="Arial"/>
                <w:szCs w:val="24"/>
              </w:rPr>
            </w:pPr>
            <w:r w:rsidRPr="002B61DF">
              <w:rPr>
                <w:rFonts w:cs="Arial"/>
                <w:szCs w:val="24"/>
              </w:rPr>
              <w:t>11.68%</w:t>
            </w:r>
          </w:p>
        </w:tc>
        <w:tc>
          <w:tcPr>
            <w:tcW w:w="1344" w:type="dxa"/>
            <w:vAlign w:val="center"/>
          </w:tcPr>
          <w:p w14:paraId="4FC16F67" w14:textId="77777777" w:rsidR="00475888" w:rsidRPr="002B61DF" w:rsidRDefault="00000000" w:rsidP="002B61DF">
            <w:pPr>
              <w:spacing w:line="360" w:lineRule="auto"/>
              <w:rPr>
                <w:rFonts w:cs="Arial"/>
                <w:szCs w:val="24"/>
              </w:rPr>
            </w:pPr>
            <w:r w:rsidRPr="002B61DF">
              <w:rPr>
                <w:rFonts w:cs="Arial"/>
                <w:szCs w:val="24"/>
              </w:rPr>
              <w:t>11.34%</w:t>
            </w:r>
          </w:p>
        </w:tc>
        <w:tc>
          <w:tcPr>
            <w:tcW w:w="1344" w:type="dxa"/>
            <w:vAlign w:val="center"/>
          </w:tcPr>
          <w:p w14:paraId="4ADBB43C" w14:textId="77777777" w:rsidR="00475888" w:rsidRPr="002B61DF" w:rsidRDefault="00000000" w:rsidP="002B61DF">
            <w:pPr>
              <w:spacing w:line="360" w:lineRule="auto"/>
              <w:rPr>
                <w:rFonts w:cs="Arial"/>
                <w:szCs w:val="24"/>
              </w:rPr>
            </w:pPr>
            <w:r w:rsidRPr="002B61DF">
              <w:rPr>
                <w:rFonts w:cs="Arial"/>
                <w:szCs w:val="24"/>
              </w:rPr>
              <w:t>0.0910</w:t>
            </w:r>
          </w:p>
        </w:tc>
      </w:tr>
      <w:tr w:rsidR="00475888" w:rsidRPr="002B61DF" w14:paraId="0D36690A" w14:textId="77777777">
        <w:trPr>
          <w:jc w:val="center"/>
        </w:trPr>
        <w:tc>
          <w:tcPr>
            <w:tcW w:w="1344" w:type="dxa"/>
            <w:vAlign w:val="center"/>
          </w:tcPr>
          <w:p w14:paraId="75E153B4" w14:textId="77777777" w:rsidR="00475888" w:rsidRPr="002B61DF" w:rsidRDefault="00000000" w:rsidP="002B61DF">
            <w:pPr>
              <w:spacing w:line="360" w:lineRule="auto"/>
              <w:rPr>
                <w:rFonts w:cs="Arial"/>
                <w:szCs w:val="24"/>
              </w:rPr>
            </w:pPr>
            <w:r w:rsidRPr="002B61DF">
              <w:rPr>
                <w:rFonts w:cs="Arial"/>
                <w:szCs w:val="24"/>
              </w:rPr>
              <w:t>CSL -2 percentage points</w:t>
            </w:r>
          </w:p>
        </w:tc>
        <w:tc>
          <w:tcPr>
            <w:tcW w:w="1344" w:type="dxa"/>
            <w:vAlign w:val="center"/>
          </w:tcPr>
          <w:p w14:paraId="605519C6" w14:textId="77777777" w:rsidR="00475888" w:rsidRPr="002B61DF" w:rsidRDefault="00000000" w:rsidP="002B61DF">
            <w:pPr>
              <w:spacing w:line="360" w:lineRule="auto"/>
              <w:rPr>
                <w:rFonts w:cs="Arial"/>
                <w:szCs w:val="24"/>
              </w:rPr>
            </w:pPr>
            <w:r w:rsidRPr="002B61DF">
              <w:rPr>
                <w:rFonts w:cs="Arial"/>
                <w:szCs w:val="24"/>
              </w:rPr>
              <w:t>10.50%</w:t>
            </w:r>
          </w:p>
        </w:tc>
        <w:tc>
          <w:tcPr>
            <w:tcW w:w="1344" w:type="dxa"/>
            <w:vAlign w:val="center"/>
          </w:tcPr>
          <w:p w14:paraId="3BCAA4A9" w14:textId="77777777" w:rsidR="00475888" w:rsidRPr="002B61DF" w:rsidRDefault="00000000" w:rsidP="002B61DF">
            <w:pPr>
              <w:spacing w:line="360" w:lineRule="auto"/>
              <w:rPr>
                <w:rFonts w:cs="Arial"/>
                <w:szCs w:val="24"/>
              </w:rPr>
            </w:pPr>
            <w:r w:rsidRPr="002B61DF">
              <w:rPr>
                <w:rFonts w:cs="Arial"/>
                <w:szCs w:val="24"/>
              </w:rPr>
              <w:t>10.00%</w:t>
            </w:r>
          </w:p>
        </w:tc>
        <w:tc>
          <w:tcPr>
            <w:tcW w:w="1344" w:type="dxa"/>
            <w:vAlign w:val="center"/>
          </w:tcPr>
          <w:p w14:paraId="681BB82A" w14:textId="77777777" w:rsidR="00475888" w:rsidRPr="002B61DF" w:rsidRDefault="00000000" w:rsidP="002B61DF">
            <w:pPr>
              <w:spacing w:line="360" w:lineRule="auto"/>
              <w:rPr>
                <w:rFonts w:cs="Arial"/>
                <w:szCs w:val="24"/>
              </w:rPr>
            </w:pPr>
            <w:r w:rsidRPr="002B61DF">
              <w:rPr>
                <w:rFonts w:cs="Arial"/>
                <w:szCs w:val="24"/>
              </w:rPr>
              <w:t>68% / 32%</w:t>
            </w:r>
          </w:p>
        </w:tc>
        <w:tc>
          <w:tcPr>
            <w:tcW w:w="1344" w:type="dxa"/>
            <w:vAlign w:val="center"/>
          </w:tcPr>
          <w:p w14:paraId="0A751C1F" w14:textId="77777777" w:rsidR="00475888" w:rsidRPr="002B61DF" w:rsidRDefault="00000000" w:rsidP="002B61DF">
            <w:pPr>
              <w:spacing w:line="360" w:lineRule="auto"/>
              <w:rPr>
                <w:rFonts w:cs="Arial"/>
                <w:szCs w:val="24"/>
              </w:rPr>
            </w:pPr>
            <w:r w:rsidRPr="002B61DF">
              <w:rPr>
                <w:rFonts w:cs="Arial"/>
                <w:szCs w:val="24"/>
              </w:rPr>
              <w:t>10.34%</w:t>
            </w:r>
          </w:p>
        </w:tc>
        <w:tc>
          <w:tcPr>
            <w:tcW w:w="1344" w:type="dxa"/>
            <w:vAlign w:val="center"/>
          </w:tcPr>
          <w:p w14:paraId="49C48436" w14:textId="77777777" w:rsidR="00475888" w:rsidRPr="002B61DF" w:rsidRDefault="00000000" w:rsidP="002B61DF">
            <w:pPr>
              <w:spacing w:line="360" w:lineRule="auto"/>
              <w:rPr>
                <w:rFonts w:cs="Arial"/>
                <w:szCs w:val="24"/>
              </w:rPr>
            </w:pPr>
            <w:r w:rsidRPr="002B61DF">
              <w:rPr>
                <w:rFonts w:cs="Arial"/>
                <w:szCs w:val="24"/>
              </w:rPr>
              <w:t>11.35%</w:t>
            </w:r>
          </w:p>
        </w:tc>
        <w:tc>
          <w:tcPr>
            <w:tcW w:w="1344" w:type="dxa"/>
            <w:vAlign w:val="center"/>
          </w:tcPr>
          <w:p w14:paraId="1310F93E" w14:textId="77777777" w:rsidR="00475888" w:rsidRPr="002B61DF" w:rsidRDefault="00000000" w:rsidP="002B61DF">
            <w:pPr>
              <w:spacing w:line="360" w:lineRule="auto"/>
              <w:rPr>
                <w:rFonts w:cs="Arial"/>
                <w:szCs w:val="24"/>
              </w:rPr>
            </w:pPr>
            <w:r w:rsidRPr="002B61DF">
              <w:rPr>
                <w:rFonts w:cs="Arial"/>
                <w:szCs w:val="24"/>
              </w:rPr>
              <w:t>0.0776</w:t>
            </w:r>
          </w:p>
        </w:tc>
      </w:tr>
      <w:tr w:rsidR="00475888" w:rsidRPr="002B61DF" w14:paraId="07AE8BB0" w14:textId="77777777">
        <w:trPr>
          <w:jc w:val="center"/>
        </w:trPr>
        <w:tc>
          <w:tcPr>
            <w:tcW w:w="1344" w:type="dxa"/>
            <w:vAlign w:val="center"/>
          </w:tcPr>
          <w:p w14:paraId="7B6849DE" w14:textId="77777777" w:rsidR="00475888" w:rsidRPr="002B61DF" w:rsidRDefault="00000000" w:rsidP="002B61DF">
            <w:pPr>
              <w:spacing w:line="360" w:lineRule="auto"/>
              <w:rPr>
                <w:rFonts w:cs="Arial"/>
                <w:szCs w:val="24"/>
              </w:rPr>
            </w:pPr>
            <w:r w:rsidRPr="002B61DF">
              <w:rPr>
                <w:rFonts w:cs="Arial"/>
                <w:szCs w:val="24"/>
              </w:rPr>
              <w:t>CSL +2 percentage points</w:t>
            </w:r>
          </w:p>
        </w:tc>
        <w:tc>
          <w:tcPr>
            <w:tcW w:w="1344" w:type="dxa"/>
            <w:vAlign w:val="center"/>
          </w:tcPr>
          <w:p w14:paraId="6AE6D46A" w14:textId="77777777" w:rsidR="00475888" w:rsidRPr="002B61DF" w:rsidRDefault="00000000" w:rsidP="002B61DF">
            <w:pPr>
              <w:spacing w:line="360" w:lineRule="auto"/>
              <w:rPr>
                <w:rFonts w:cs="Arial"/>
                <w:szCs w:val="24"/>
              </w:rPr>
            </w:pPr>
            <w:r w:rsidRPr="002B61DF">
              <w:rPr>
                <w:rFonts w:cs="Arial"/>
                <w:szCs w:val="24"/>
              </w:rPr>
              <w:t>10.50%</w:t>
            </w:r>
          </w:p>
        </w:tc>
        <w:tc>
          <w:tcPr>
            <w:tcW w:w="1344" w:type="dxa"/>
            <w:vAlign w:val="center"/>
          </w:tcPr>
          <w:p w14:paraId="346FCFA2" w14:textId="77777777" w:rsidR="00475888" w:rsidRPr="002B61DF" w:rsidRDefault="00000000" w:rsidP="002B61DF">
            <w:pPr>
              <w:spacing w:line="360" w:lineRule="auto"/>
              <w:rPr>
                <w:rFonts w:cs="Arial"/>
                <w:szCs w:val="24"/>
              </w:rPr>
            </w:pPr>
            <w:r w:rsidRPr="002B61DF">
              <w:rPr>
                <w:rFonts w:cs="Arial"/>
                <w:szCs w:val="24"/>
              </w:rPr>
              <w:t>14.00%</w:t>
            </w:r>
          </w:p>
        </w:tc>
        <w:tc>
          <w:tcPr>
            <w:tcW w:w="1344" w:type="dxa"/>
            <w:vAlign w:val="center"/>
          </w:tcPr>
          <w:p w14:paraId="407D4DB2" w14:textId="77777777" w:rsidR="00475888" w:rsidRPr="002B61DF" w:rsidRDefault="00000000" w:rsidP="002B61DF">
            <w:pPr>
              <w:spacing w:line="360" w:lineRule="auto"/>
              <w:rPr>
                <w:rFonts w:cs="Arial"/>
                <w:szCs w:val="24"/>
              </w:rPr>
            </w:pPr>
            <w:r w:rsidRPr="002B61DF">
              <w:rPr>
                <w:rFonts w:cs="Arial"/>
                <w:szCs w:val="24"/>
              </w:rPr>
              <w:t>56% / 44%</w:t>
            </w:r>
          </w:p>
        </w:tc>
        <w:tc>
          <w:tcPr>
            <w:tcW w:w="1344" w:type="dxa"/>
            <w:vAlign w:val="center"/>
          </w:tcPr>
          <w:p w14:paraId="221A8952" w14:textId="77777777" w:rsidR="00475888" w:rsidRPr="002B61DF" w:rsidRDefault="00000000" w:rsidP="002B61DF">
            <w:pPr>
              <w:spacing w:line="360" w:lineRule="auto"/>
              <w:rPr>
                <w:rFonts w:cs="Arial"/>
                <w:szCs w:val="24"/>
              </w:rPr>
            </w:pPr>
            <w:r w:rsidRPr="002B61DF">
              <w:rPr>
                <w:rFonts w:cs="Arial"/>
                <w:szCs w:val="24"/>
              </w:rPr>
              <w:t>12.04%</w:t>
            </w:r>
          </w:p>
        </w:tc>
        <w:tc>
          <w:tcPr>
            <w:tcW w:w="1344" w:type="dxa"/>
            <w:vAlign w:val="center"/>
          </w:tcPr>
          <w:p w14:paraId="6F12D897" w14:textId="77777777" w:rsidR="00475888" w:rsidRPr="002B61DF" w:rsidRDefault="00000000" w:rsidP="002B61DF">
            <w:pPr>
              <w:spacing w:line="360" w:lineRule="auto"/>
              <w:rPr>
                <w:rFonts w:cs="Arial"/>
                <w:szCs w:val="24"/>
              </w:rPr>
            </w:pPr>
            <w:r w:rsidRPr="002B61DF">
              <w:rPr>
                <w:rFonts w:cs="Arial"/>
                <w:szCs w:val="24"/>
              </w:rPr>
              <w:t>11.74%</w:t>
            </w:r>
          </w:p>
        </w:tc>
        <w:tc>
          <w:tcPr>
            <w:tcW w:w="1344" w:type="dxa"/>
            <w:vAlign w:val="center"/>
          </w:tcPr>
          <w:p w14:paraId="410C15D6" w14:textId="77777777" w:rsidR="00475888" w:rsidRPr="002B61DF" w:rsidRDefault="00000000" w:rsidP="002B61DF">
            <w:pPr>
              <w:spacing w:line="360" w:lineRule="auto"/>
              <w:rPr>
                <w:rFonts w:cs="Arial"/>
                <w:szCs w:val="24"/>
              </w:rPr>
            </w:pPr>
            <w:r w:rsidRPr="002B61DF">
              <w:rPr>
                <w:rFonts w:cs="Arial"/>
                <w:szCs w:val="24"/>
              </w:rPr>
              <w:t>0.0928</w:t>
            </w:r>
          </w:p>
        </w:tc>
      </w:tr>
      <w:tr w:rsidR="00475888" w:rsidRPr="002B61DF" w14:paraId="4FE1208F" w14:textId="77777777">
        <w:trPr>
          <w:jc w:val="center"/>
        </w:trPr>
        <w:tc>
          <w:tcPr>
            <w:tcW w:w="1344" w:type="dxa"/>
            <w:vAlign w:val="center"/>
          </w:tcPr>
          <w:p w14:paraId="4E31835A" w14:textId="77777777" w:rsidR="00475888" w:rsidRPr="002B61DF" w:rsidRDefault="00000000" w:rsidP="002B61DF">
            <w:pPr>
              <w:spacing w:line="360" w:lineRule="auto"/>
              <w:rPr>
                <w:rFonts w:cs="Arial"/>
                <w:szCs w:val="24"/>
              </w:rPr>
            </w:pPr>
            <w:r w:rsidRPr="002B61DF">
              <w:rPr>
                <w:rFonts w:cs="Arial"/>
                <w:szCs w:val="24"/>
              </w:rPr>
              <w:t>Both -1 percentage point</w:t>
            </w:r>
          </w:p>
        </w:tc>
        <w:tc>
          <w:tcPr>
            <w:tcW w:w="1344" w:type="dxa"/>
            <w:vAlign w:val="center"/>
          </w:tcPr>
          <w:p w14:paraId="5C88F82C" w14:textId="77777777" w:rsidR="00475888" w:rsidRPr="002B61DF" w:rsidRDefault="00000000" w:rsidP="002B61DF">
            <w:pPr>
              <w:spacing w:line="360" w:lineRule="auto"/>
              <w:rPr>
                <w:rFonts w:cs="Arial"/>
                <w:szCs w:val="24"/>
              </w:rPr>
            </w:pPr>
            <w:r w:rsidRPr="002B61DF">
              <w:rPr>
                <w:rFonts w:cs="Arial"/>
                <w:szCs w:val="24"/>
              </w:rPr>
              <w:t>9.50%</w:t>
            </w:r>
          </w:p>
        </w:tc>
        <w:tc>
          <w:tcPr>
            <w:tcW w:w="1344" w:type="dxa"/>
            <w:vAlign w:val="center"/>
          </w:tcPr>
          <w:p w14:paraId="0DA5A015" w14:textId="77777777" w:rsidR="00475888" w:rsidRPr="002B61DF" w:rsidRDefault="00000000" w:rsidP="002B61DF">
            <w:pPr>
              <w:spacing w:line="360" w:lineRule="auto"/>
              <w:rPr>
                <w:rFonts w:cs="Arial"/>
                <w:szCs w:val="24"/>
              </w:rPr>
            </w:pPr>
            <w:r w:rsidRPr="002B61DF">
              <w:rPr>
                <w:rFonts w:cs="Arial"/>
                <w:szCs w:val="24"/>
              </w:rPr>
              <w:t>11.00%</w:t>
            </w:r>
          </w:p>
        </w:tc>
        <w:tc>
          <w:tcPr>
            <w:tcW w:w="1344" w:type="dxa"/>
            <w:vAlign w:val="center"/>
          </w:tcPr>
          <w:p w14:paraId="25FAEEEB" w14:textId="77777777" w:rsidR="00475888" w:rsidRPr="002B61DF" w:rsidRDefault="00000000" w:rsidP="002B61DF">
            <w:pPr>
              <w:spacing w:line="360" w:lineRule="auto"/>
              <w:rPr>
                <w:rFonts w:cs="Arial"/>
                <w:szCs w:val="24"/>
              </w:rPr>
            </w:pPr>
            <w:r w:rsidRPr="002B61DF">
              <w:rPr>
                <w:rFonts w:cs="Arial"/>
                <w:szCs w:val="24"/>
              </w:rPr>
              <w:t>62% / 38%</w:t>
            </w:r>
          </w:p>
        </w:tc>
        <w:tc>
          <w:tcPr>
            <w:tcW w:w="1344" w:type="dxa"/>
            <w:vAlign w:val="center"/>
          </w:tcPr>
          <w:p w14:paraId="26AC6412" w14:textId="77777777" w:rsidR="00475888" w:rsidRPr="002B61DF" w:rsidRDefault="00000000" w:rsidP="002B61DF">
            <w:pPr>
              <w:spacing w:line="360" w:lineRule="auto"/>
              <w:rPr>
                <w:rFonts w:cs="Arial"/>
                <w:szCs w:val="24"/>
              </w:rPr>
            </w:pPr>
            <w:r w:rsidRPr="002B61DF">
              <w:rPr>
                <w:rFonts w:cs="Arial"/>
                <w:szCs w:val="24"/>
              </w:rPr>
              <w:t>10.07%</w:t>
            </w:r>
          </w:p>
        </w:tc>
        <w:tc>
          <w:tcPr>
            <w:tcW w:w="1344" w:type="dxa"/>
            <w:vAlign w:val="center"/>
          </w:tcPr>
          <w:p w14:paraId="3E87D0F1" w14:textId="77777777" w:rsidR="00475888" w:rsidRPr="002B61DF" w:rsidRDefault="00000000" w:rsidP="002B61DF">
            <w:pPr>
              <w:spacing w:line="360" w:lineRule="auto"/>
              <w:rPr>
                <w:rFonts w:cs="Arial"/>
                <w:szCs w:val="24"/>
              </w:rPr>
            </w:pPr>
            <w:r w:rsidRPr="002B61DF">
              <w:rPr>
                <w:rFonts w:cs="Arial"/>
                <w:szCs w:val="24"/>
              </w:rPr>
              <w:t>11.40%</w:t>
            </w:r>
          </w:p>
        </w:tc>
        <w:tc>
          <w:tcPr>
            <w:tcW w:w="1344" w:type="dxa"/>
            <w:vAlign w:val="center"/>
          </w:tcPr>
          <w:p w14:paraId="7B67958C" w14:textId="77777777" w:rsidR="00475888" w:rsidRPr="002B61DF" w:rsidRDefault="00000000" w:rsidP="002B61DF">
            <w:pPr>
              <w:spacing w:line="360" w:lineRule="auto"/>
              <w:rPr>
                <w:rFonts w:cs="Arial"/>
                <w:szCs w:val="24"/>
              </w:rPr>
            </w:pPr>
            <w:r w:rsidRPr="002B61DF">
              <w:rPr>
                <w:rFonts w:cs="Arial"/>
                <w:szCs w:val="24"/>
              </w:rPr>
              <w:t>0.0747</w:t>
            </w:r>
          </w:p>
        </w:tc>
      </w:tr>
    </w:tbl>
    <w:p w14:paraId="0AAADBCE" w14:textId="6E070E76" w:rsidR="00475888" w:rsidRPr="002B61DF" w:rsidRDefault="00000000" w:rsidP="002B61DF">
      <w:pPr>
        <w:spacing w:after="120" w:line="360" w:lineRule="auto"/>
        <w:jc w:val="center"/>
        <w:rPr>
          <w:rFonts w:cs="Arial"/>
          <w:szCs w:val="24"/>
        </w:rPr>
      </w:pPr>
      <w:r w:rsidRPr="002B61DF">
        <w:rPr>
          <w:rFonts w:cs="Arial"/>
          <w:i/>
          <w:szCs w:val="24"/>
        </w:rPr>
        <w:t>Source: author calculations using the same risk, correlation and A = 4 inputs.</w:t>
      </w:r>
    </w:p>
    <w:p w14:paraId="1C91DC29" w14:textId="30AC41E1" w:rsidR="00041B42" w:rsidRPr="002B61DF" w:rsidRDefault="00041B42" w:rsidP="002B61DF">
      <w:pPr>
        <w:spacing w:after="160" w:line="360" w:lineRule="auto"/>
        <w:jc w:val="both"/>
        <w:rPr>
          <w:rFonts w:cs="Arial"/>
        </w:rPr>
      </w:pPr>
      <w:r w:rsidRPr="002B61DF">
        <w:rPr>
          <w:rFonts w:cs="Arial"/>
        </w:rPr>
        <w:t xml:space="preserve">The sensitivity results also give some rules of implementation discipline. A major CSL downgrade should not be seen as a reason for a complete exit as the diversification benefit still continues but it would be a good reason to rebalance towards ANZ. On the other hand, if the guidance from the CSL </w:t>
      </w:r>
      <w:proofErr w:type="spellStart"/>
      <w:r w:rsidRPr="002B61DF">
        <w:rPr>
          <w:rFonts w:cs="Arial"/>
        </w:rPr>
        <w:t>firmens</w:t>
      </w:r>
      <w:proofErr w:type="spellEnd"/>
      <w:r w:rsidRPr="002B61DF">
        <w:rPr>
          <w:rFonts w:cs="Arial"/>
        </w:rPr>
        <w:t xml:space="preserve"> remains constant, and the recovery side case improves, the allocation of CSL could shift into the low 40 per cent. This is a dynamic portfolio: The allocation of 62:38 is not permanent, just the optimum that is in force at the moment.</w:t>
      </w:r>
    </w:p>
    <w:p w14:paraId="58D87DF8" w14:textId="77777777" w:rsidR="00475888" w:rsidRPr="002B61DF" w:rsidRDefault="00000000" w:rsidP="002B61DF">
      <w:pPr>
        <w:pStyle w:val="Heading1"/>
      </w:pPr>
      <w:bookmarkStart w:id="14" w:name="_Toc229524585"/>
      <w:r w:rsidRPr="002B61DF">
        <w:t>Recommendation, implementation and monitoring</w:t>
      </w:r>
      <w:bookmarkEnd w:id="14"/>
    </w:p>
    <w:p w14:paraId="3322C661" w14:textId="77777777" w:rsidR="009018DA" w:rsidRPr="002B61DF" w:rsidRDefault="009018DA" w:rsidP="002B61DF">
      <w:pPr>
        <w:spacing w:after="160" w:line="360" w:lineRule="auto"/>
        <w:jc w:val="both"/>
        <w:rPr>
          <w:rFonts w:cs="Arial"/>
        </w:rPr>
      </w:pPr>
      <w:r w:rsidRPr="002B61DF">
        <w:rPr>
          <w:rFonts w:cs="Arial"/>
        </w:rPr>
        <w:t xml:space="preserve">The advice is to allocate approximately A$93,000 to ANZ and A$57,000 to CSL with any leftover funds allocated to broking and rounding, and liquidity. If the expected return is </w:t>
      </w:r>
      <w:proofErr w:type="spellStart"/>
      <w:r w:rsidRPr="002B61DF">
        <w:rPr>
          <w:rFonts w:cs="Arial"/>
        </w:rPr>
        <w:t>realised</w:t>
      </w:r>
      <w:proofErr w:type="spellEnd"/>
      <w:r w:rsidRPr="002B61DF">
        <w:rPr>
          <w:rFonts w:cs="Arial"/>
        </w:rPr>
        <w:t xml:space="preserve"> at 11.07% then the net after tax and transaction cost return of this portfolio is around A$16,605. It is better than a 100 per cent ANZ portfolio since it helps to lessen </w:t>
      </w:r>
      <w:r w:rsidRPr="002B61DF">
        <w:rPr>
          <w:rFonts w:cs="Arial"/>
        </w:rPr>
        <w:lastRenderedPageBreak/>
        <w:t>the concentration of banking in any particular sector, and better than a 100 per cent CSL portfolio as CSL have high business-model, guidance and sentiment risk.</w:t>
      </w:r>
    </w:p>
    <w:p w14:paraId="75A74207" w14:textId="58215619" w:rsidR="00041B42" w:rsidRPr="002B61DF" w:rsidRDefault="009018DA" w:rsidP="002B61DF">
      <w:pPr>
        <w:spacing w:after="160" w:line="360" w:lineRule="auto"/>
        <w:jc w:val="both"/>
        <w:rPr>
          <w:rFonts w:cs="Arial"/>
        </w:rPr>
      </w:pPr>
      <w:r w:rsidRPr="002B61DF">
        <w:rPr>
          <w:rFonts w:cs="Arial"/>
        </w:rPr>
        <w:t>Monitoring should be done quarterly and rebalancing should take place if there is a difference of more than 10 percentage points from the target weight for any share or if fundamental triggers are breached. Net Interest Margin, Cost-to-Income ratio, CET1 capital and mortgage arrears, regulatory costs and restructuring benefit delivery are the key drivers for ANZ. The major catalysts of CSL are the FY2026 guidance, impairment updates, plasma margins, US demand for vaccines, China albumin pricing and permanent leadership appointment. At the macro level, the portfolio should be re-evaluated following the publication of each RBA meeting and CPI after the event as if there are renewed rate increases, this would impact the bank margin, credit quality and equity discount rates.</w:t>
      </w:r>
    </w:p>
    <w:p w14:paraId="552F11FB" w14:textId="77777777" w:rsidR="00475888" w:rsidRPr="002B61DF" w:rsidRDefault="00000000" w:rsidP="002B61DF">
      <w:pPr>
        <w:pStyle w:val="Heading1"/>
      </w:pPr>
      <w:bookmarkStart w:id="15" w:name="_Toc229524586"/>
      <w:r w:rsidRPr="002B61DF">
        <w:t>Conclusion</w:t>
      </w:r>
      <w:bookmarkEnd w:id="15"/>
    </w:p>
    <w:p w14:paraId="74F5EB90" w14:textId="77777777" w:rsidR="003873ED" w:rsidRPr="002B61DF" w:rsidRDefault="003873ED" w:rsidP="002B61DF">
      <w:pPr>
        <w:spacing w:after="160" w:line="360" w:lineRule="auto"/>
        <w:jc w:val="both"/>
        <w:rPr>
          <w:rFonts w:cs="Arial"/>
        </w:rPr>
      </w:pPr>
      <w:r w:rsidRPr="002B61DF">
        <w:rPr>
          <w:rFonts w:cs="Arial"/>
        </w:rPr>
        <w:t xml:space="preserve">The bottom-up analysis provides an Australian equity environment of positive, but limited returns. The global growth is </w:t>
      </w:r>
      <w:proofErr w:type="gramStart"/>
      <w:r w:rsidRPr="002B61DF">
        <w:rPr>
          <w:rFonts w:cs="Arial"/>
        </w:rPr>
        <w:t>moderate,</w:t>
      </w:r>
      <w:proofErr w:type="gramEnd"/>
      <w:r w:rsidRPr="002B61DF">
        <w:rPr>
          <w:rFonts w:cs="Arial"/>
        </w:rPr>
        <w:t xml:space="preserve"> inflation is a policy issue and the 3.60 per cent cash rate should not be "easy money". If equity risk premiums are higher and a rotation towards the so-called cash cows, it pays to be selective in terms of exposure to companies that are resilient. The complementary exposures include: ANZ domestic financial leverage, dividend income and upside on restructuring while CSL is the global healthcare diversification and upside on the recovery value.</w:t>
      </w:r>
    </w:p>
    <w:p w14:paraId="24E739EB" w14:textId="6BF1706C" w:rsidR="002B61DF" w:rsidRPr="002B61DF" w:rsidRDefault="003873ED" w:rsidP="002B61DF">
      <w:pPr>
        <w:spacing w:after="160" w:line="360" w:lineRule="auto"/>
        <w:jc w:val="both"/>
        <w:rPr>
          <w:rFonts w:cs="Arial"/>
        </w:rPr>
      </w:pPr>
      <w:r w:rsidRPr="002B61DF">
        <w:rPr>
          <w:rFonts w:cs="Arial"/>
        </w:rPr>
        <w:t>For a moderately risk averse investor, the optimal portfolios using formally derived forward returns are 62 per cent ANZ and 38 per cent CSL. The allocation has an average annual return of 11.07 per cent, a risk of 11.40 per cent and a reward-risk ratio of 0.66 and the maximum utility of the tested combinations. Sensitivity analysis indicates the portfolio will still be dominated by ANZ with reasonable forecasts and the weight of CSL will be adjusted as the evidence of recovery changes. The investment should be implemented with around 2,559 ANZ shares and 330 CSL shares and subsequently reviewed periodically against macro, sector and company-specific triggers with the aim of rebalancing.</w:t>
      </w:r>
    </w:p>
    <w:p w14:paraId="28435AD0" w14:textId="77777777" w:rsidR="00475888" w:rsidRPr="002B61DF" w:rsidRDefault="00000000" w:rsidP="002B61DF">
      <w:pPr>
        <w:pStyle w:val="Heading1"/>
      </w:pPr>
      <w:bookmarkStart w:id="16" w:name="_Toc229524587"/>
      <w:r w:rsidRPr="002B61DF">
        <w:lastRenderedPageBreak/>
        <w:t>Reference List</w:t>
      </w:r>
      <w:bookmarkEnd w:id="16"/>
    </w:p>
    <w:p w14:paraId="23AD65F4"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ABS (2026) </w:t>
      </w:r>
      <w:r w:rsidRPr="002B61DF">
        <w:rPr>
          <w:rStyle w:val="Emphasis"/>
          <w:rFonts w:ascii="Arial" w:hAnsi="Arial" w:cs="Arial"/>
        </w:rPr>
        <w:t>Consumer Price Index, Australia, December 2025</w:t>
      </w:r>
      <w:r w:rsidRPr="002B61DF">
        <w:rPr>
          <w:rFonts w:ascii="Arial" w:hAnsi="Arial" w:cs="Arial"/>
        </w:rPr>
        <w:t xml:space="preserve">. Australian Bureau of Statistics. Available at: </w:t>
      </w:r>
      <w:hyperlink r:id="rId12" w:tgtFrame="_new" w:history="1">
        <w:r w:rsidRPr="002B61DF">
          <w:rPr>
            <w:rStyle w:val="Hyperlink"/>
            <w:rFonts w:ascii="Arial" w:hAnsi="Arial" w:cs="Arial"/>
          </w:rPr>
          <w:t>https://www.abs.gov.au/statistics/economy/price-indexes-and-inflation/consumer-price-index-australia/dec-2025</w:t>
        </w:r>
      </w:hyperlink>
      <w:r w:rsidRPr="002B61DF">
        <w:rPr>
          <w:rFonts w:ascii="Arial" w:hAnsi="Arial" w:cs="Arial"/>
        </w:rPr>
        <w:t xml:space="preserve"> (Accessed: 12 May 2026).</w:t>
      </w:r>
    </w:p>
    <w:p w14:paraId="4E2CFA10"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ANZ Group Holdings Limited (2025) </w:t>
      </w:r>
      <w:r w:rsidRPr="002B61DF">
        <w:rPr>
          <w:rStyle w:val="Emphasis"/>
          <w:rFonts w:ascii="Arial" w:hAnsi="Arial" w:cs="Arial"/>
        </w:rPr>
        <w:t>2025 Annual Report</w:t>
      </w:r>
      <w:r w:rsidRPr="002B61DF">
        <w:rPr>
          <w:rFonts w:ascii="Arial" w:hAnsi="Arial" w:cs="Arial"/>
        </w:rPr>
        <w:t xml:space="preserve">. Available at: </w:t>
      </w:r>
      <w:hyperlink r:id="rId13" w:tgtFrame="_new" w:history="1">
        <w:r w:rsidRPr="002B61DF">
          <w:rPr>
            <w:rStyle w:val="Hyperlink"/>
            <w:rFonts w:ascii="Arial" w:hAnsi="Arial" w:cs="Arial"/>
          </w:rPr>
          <w:t>https://www.anz.com/content/dam/anzcom/shareholder/2025-annual-report/anz-2025-annual-report.pdf</w:t>
        </w:r>
      </w:hyperlink>
      <w:r w:rsidRPr="002B61DF">
        <w:rPr>
          <w:rFonts w:ascii="Arial" w:hAnsi="Arial" w:cs="Arial"/>
        </w:rPr>
        <w:t xml:space="preserve"> (Accessed: 12 May 2026).</w:t>
      </w:r>
    </w:p>
    <w:p w14:paraId="2E820909"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Australian Government (2025) </w:t>
      </w:r>
      <w:r w:rsidRPr="002B61DF">
        <w:rPr>
          <w:rStyle w:val="Emphasis"/>
          <w:rFonts w:ascii="Arial" w:hAnsi="Arial" w:cs="Arial"/>
        </w:rPr>
        <w:t>Mid-Year Economic and Fiscal Outlook 2025–26</w:t>
      </w:r>
      <w:r w:rsidRPr="002B61DF">
        <w:rPr>
          <w:rFonts w:ascii="Arial" w:hAnsi="Arial" w:cs="Arial"/>
        </w:rPr>
        <w:t xml:space="preserve">. Available at: </w:t>
      </w:r>
      <w:hyperlink r:id="rId14" w:tgtFrame="_new" w:history="1">
        <w:r w:rsidRPr="002B61DF">
          <w:rPr>
            <w:rStyle w:val="Hyperlink"/>
            <w:rFonts w:ascii="Arial" w:hAnsi="Arial" w:cs="Arial"/>
          </w:rPr>
          <w:t>https://budget.gov.au/content/myefo/index.htm</w:t>
        </w:r>
      </w:hyperlink>
      <w:r w:rsidRPr="002B61DF">
        <w:rPr>
          <w:rFonts w:ascii="Arial" w:hAnsi="Arial" w:cs="Arial"/>
        </w:rPr>
        <w:t xml:space="preserve"> (Accessed: 12 May 2026).</w:t>
      </w:r>
    </w:p>
    <w:p w14:paraId="4DA17436"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Bodie, Z., Kane, A. and Marcus, A.J. (2024) </w:t>
      </w:r>
      <w:r w:rsidRPr="002B61DF">
        <w:rPr>
          <w:rStyle w:val="Emphasis"/>
          <w:rFonts w:ascii="Arial" w:hAnsi="Arial" w:cs="Arial"/>
        </w:rPr>
        <w:t>Investments</w:t>
      </w:r>
      <w:r w:rsidRPr="002B61DF">
        <w:rPr>
          <w:rFonts w:ascii="Arial" w:hAnsi="Arial" w:cs="Arial"/>
        </w:rPr>
        <w:t xml:space="preserve">. 13th </w:t>
      </w:r>
      <w:proofErr w:type="spellStart"/>
      <w:r w:rsidRPr="002B61DF">
        <w:rPr>
          <w:rFonts w:ascii="Arial" w:hAnsi="Arial" w:cs="Arial"/>
        </w:rPr>
        <w:t>edn</w:t>
      </w:r>
      <w:proofErr w:type="spellEnd"/>
      <w:r w:rsidRPr="002B61DF">
        <w:rPr>
          <w:rFonts w:ascii="Arial" w:hAnsi="Arial" w:cs="Arial"/>
        </w:rPr>
        <w:t>. New York: McGraw Hill.</w:t>
      </w:r>
    </w:p>
    <w:p w14:paraId="45F42292"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Capital Brief (2026) </w:t>
      </w:r>
      <w:r w:rsidRPr="002B61DF">
        <w:rPr>
          <w:rStyle w:val="Emphasis"/>
          <w:rFonts w:ascii="Arial" w:hAnsi="Arial" w:cs="Arial"/>
        </w:rPr>
        <w:t>CSL downgrades FY26 earnings guidance after flagging impairment costs</w:t>
      </w:r>
      <w:r w:rsidRPr="002B61DF">
        <w:rPr>
          <w:rFonts w:ascii="Arial" w:hAnsi="Arial" w:cs="Arial"/>
        </w:rPr>
        <w:t xml:space="preserve">. Available at: </w:t>
      </w:r>
      <w:hyperlink r:id="rId15" w:tgtFrame="_new" w:history="1">
        <w:r w:rsidRPr="002B61DF">
          <w:rPr>
            <w:rStyle w:val="Hyperlink"/>
            <w:rFonts w:ascii="Arial" w:hAnsi="Arial" w:cs="Arial"/>
          </w:rPr>
          <w:t>https://www.capitalbrief.com/briefing/csl-downgrades-fy26-earnings-guidance-after-flagging-impairment-costs-62669ae9-fcf5-4854-affa-800674726311/</w:t>
        </w:r>
      </w:hyperlink>
      <w:r w:rsidRPr="002B61DF">
        <w:rPr>
          <w:rFonts w:ascii="Arial" w:hAnsi="Arial" w:cs="Arial"/>
        </w:rPr>
        <w:t xml:space="preserve"> (Accessed: 12 May 2026).</w:t>
      </w:r>
    </w:p>
    <w:p w14:paraId="41DF048B"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CSL Limited (2025) </w:t>
      </w:r>
      <w:r w:rsidRPr="002B61DF">
        <w:rPr>
          <w:rStyle w:val="Emphasis"/>
          <w:rFonts w:ascii="Arial" w:hAnsi="Arial" w:cs="Arial"/>
        </w:rPr>
        <w:t>2025 Annual Report</w:t>
      </w:r>
      <w:r w:rsidRPr="002B61DF">
        <w:rPr>
          <w:rFonts w:ascii="Arial" w:hAnsi="Arial" w:cs="Arial"/>
        </w:rPr>
        <w:t xml:space="preserve">. Available at: </w:t>
      </w:r>
      <w:hyperlink r:id="rId16" w:tgtFrame="_new" w:history="1">
        <w:r w:rsidRPr="002B61DF">
          <w:rPr>
            <w:rStyle w:val="Hyperlink"/>
            <w:rFonts w:ascii="Arial" w:hAnsi="Arial" w:cs="Arial"/>
          </w:rPr>
          <w:t>https://investors.csl.com/annualreport/2025/</w:t>
        </w:r>
      </w:hyperlink>
      <w:r w:rsidRPr="002B61DF">
        <w:rPr>
          <w:rFonts w:ascii="Arial" w:hAnsi="Arial" w:cs="Arial"/>
        </w:rPr>
        <w:t xml:space="preserve"> (Accessed: 12 May 2026).</w:t>
      </w:r>
    </w:p>
    <w:p w14:paraId="23BE299B"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Damodaran, A. (2025) </w:t>
      </w:r>
      <w:r w:rsidRPr="002B61DF">
        <w:rPr>
          <w:rStyle w:val="Emphasis"/>
          <w:rFonts w:ascii="Arial" w:hAnsi="Arial" w:cs="Arial"/>
        </w:rPr>
        <w:t>Equity Risk Premiums (ERP): Determinants, Estimation, and Implications – The 2025 Edition</w:t>
      </w:r>
      <w:r w:rsidRPr="002B61DF">
        <w:rPr>
          <w:rFonts w:ascii="Arial" w:hAnsi="Arial" w:cs="Arial"/>
        </w:rPr>
        <w:t xml:space="preserve">. Available at: </w:t>
      </w:r>
      <w:hyperlink r:id="rId17" w:tgtFrame="_new" w:history="1">
        <w:r w:rsidRPr="002B61DF">
          <w:rPr>
            <w:rStyle w:val="Hyperlink"/>
            <w:rFonts w:ascii="Arial" w:hAnsi="Arial" w:cs="Arial"/>
          </w:rPr>
          <w:t>https://papers.ssrn.com/sol3/papers.cfm?abstract_id=5168609</w:t>
        </w:r>
      </w:hyperlink>
      <w:r w:rsidRPr="002B61DF">
        <w:rPr>
          <w:rFonts w:ascii="Arial" w:hAnsi="Arial" w:cs="Arial"/>
        </w:rPr>
        <w:t xml:space="preserve"> (Accessed: 12 May 2026).</w:t>
      </w:r>
    </w:p>
    <w:p w14:paraId="514EE25E" w14:textId="77777777" w:rsidR="002B61DF" w:rsidRPr="002B61DF" w:rsidRDefault="002B61DF" w:rsidP="002B61DF">
      <w:pPr>
        <w:pStyle w:val="NormalWeb"/>
        <w:spacing w:line="360" w:lineRule="auto"/>
        <w:rPr>
          <w:rFonts w:ascii="Arial" w:hAnsi="Arial" w:cs="Arial"/>
        </w:rPr>
      </w:pPr>
      <w:proofErr w:type="spellStart"/>
      <w:r w:rsidRPr="002B61DF">
        <w:rPr>
          <w:rFonts w:ascii="Arial" w:hAnsi="Arial" w:cs="Arial"/>
        </w:rPr>
        <w:t>Digrin</w:t>
      </w:r>
      <w:proofErr w:type="spellEnd"/>
      <w:r w:rsidRPr="002B61DF">
        <w:rPr>
          <w:rFonts w:ascii="Arial" w:hAnsi="Arial" w:cs="Arial"/>
        </w:rPr>
        <w:t xml:space="preserve"> (2026a) </w:t>
      </w:r>
      <w:r w:rsidRPr="002B61DF">
        <w:rPr>
          <w:rStyle w:val="Emphasis"/>
          <w:rFonts w:ascii="Arial" w:hAnsi="Arial" w:cs="Arial"/>
        </w:rPr>
        <w:t>ANZ Group Holdings Limited (ANZ.AX) price history</w:t>
      </w:r>
      <w:r w:rsidRPr="002B61DF">
        <w:rPr>
          <w:rFonts w:ascii="Arial" w:hAnsi="Arial" w:cs="Arial"/>
        </w:rPr>
        <w:t xml:space="preserve">. Available at: </w:t>
      </w:r>
      <w:hyperlink r:id="rId18" w:tgtFrame="_new" w:history="1">
        <w:r w:rsidRPr="002B61DF">
          <w:rPr>
            <w:rStyle w:val="Hyperlink"/>
            <w:rFonts w:ascii="Arial" w:hAnsi="Arial" w:cs="Arial"/>
          </w:rPr>
          <w:t>https://www.digrin.com/stocks/detail/ANZ.AX/price</w:t>
        </w:r>
      </w:hyperlink>
      <w:r w:rsidRPr="002B61DF">
        <w:rPr>
          <w:rFonts w:ascii="Arial" w:hAnsi="Arial" w:cs="Arial"/>
        </w:rPr>
        <w:t xml:space="preserve"> (Accessed: 12 May 2026).</w:t>
      </w:r>
    </w:p>
    <w:p w14:paraId="5A4F1FCA" w14:textId="77777777" w:rsidR="002B61DF" w:rsidRPr="002B61DF" w:rsidRDefault="002B61DF" w:rsidP="002B61DF">
      <w:pPr>
        <w:pStyle w:val="NormalWeb"/>
        <w:spacing w:line="360" w:lineRule="auto"/>
        <w:rPr>
          <w:rFonts w:ascii="Arial" w:hAnsi="Arial" w:cs="Arial"/>
        </w:rPr>
      </w:pPr>
      <w:proofErr w:type="spellStart"/>
      <w:r w:rsidRPr="002B61DF">
        <w:rPr>
          <w:rFonts w:ascii="Arial" w:hAnsi="Arial" w:cs="Arial"/>
        </w:rPr>
        <w:t>Digrin</w:t>
      </w:r>
      <w:proofErr w:type="spellEnd"/>
      <w:r w:rsidRPr="002B61DF">
        <w:rPr>
          <w:rFonts w:ascii="Arial" w:hAnsi="Arial" w:cs="Arial"/>
        </w:rPr>
        <w:t xml:space="preserve"> (2026b) </w:t>
      </w:r>
      <w:r w:rsidRPr="002B61DF">
        <w:rPr>
          <w:rStyle w:val="Emphasis"/>
          <w:rFonts w:ascii="Arial" w:hAnsi="Arial" w:cs="Arial"/>
        </w:rPr>
        <w:t>CSL Limited (CSL.AX) price history</w:t>
      </w:r>
      <w:r w:rsidRPr="002B61DF">
        <w:rPr>
          <w:rFonts w:ascii="Arial" w:hAnsi="Arial" w:cs="Arial"/>
        </w:rPr>
        <w:t xml:space="preserve">. Available at: </w:t>
      </w:r>
      <w:hyperlink r:id="rId19" w:tgtFrame="_new" w:history="1">
        <w:r w:rsidRPr="002B61DF">
          <w:rPr>
            <w:rStyle w:val="Hyperlink"/>
            <w:rFonts w:ascii="Arial" w:hAnsi="Arial" w:cs="Arial"/>
          </w:rPr>
          <w:t>https://www.digrin.com/stocks/detail/CSL.AX/price</w:t>
        </w:r>
      </w:hyperlink>
      <w:r w:rsidRPr="002B61DF">
        <w:rPr>
          <w:rFonts w:ascii="Arial" w:hAnsi="Arial" w:cs="Arial"/>
        </w:rPr>
        <w:t xml:space="preserve"> (Accessed: 12 May 2026).</w:t>
      </w:r>
    </w:p>
    <w:p w14:paraId="28837AF3" w14:textId="77777777" w:rsidR="002B61DF" w:rsidRPr="002B61DF" w:rsidRDefault="002B61DF" w:rsidP="002B61DF">
      <w:pPr>
        <w:pStyle w:val="NormalWeb"/>
        <w:spacing w:line="360" w:lineRule="auto"/>
        <w:rPr>
          <w:rFonts w:ascii="Arial" w:hAnsi="Arial" w:cs="Arial"/>
        </w:rPr>
      </w:pPr>
      <w:r w:rsidRPr="002B61DF">
        <w:rPr>
          <w:rFonts w:ascii="Arial" w:hAnsi="Arial" w:cs="Arial"/>
        </w:rPr>
        <w:lastRenderedPageBreak/>
        <w:t xml:space="preserve">IMF (2025) </w:t>
      </w:r>
      <w:r w:rsidRPr="002B61DF">
        <w:rPr>
          <w:rStyle w:val="Emphasis"/>
          <w:rFonts w:ascii="Arial" w:hAnsi="Arial" w:cs="Arial"/>
        </w:rPr>
        <w:t>World Economic Outlook, October 2025: Global Economy in Flux, Prospects Remain Dim</w:t>
      </w:r>
      <w:r w:rsidRPr="002B61DF">
        <w:rPr>
          <w:rFonts w:ascii="Arial" w:hAnsi="Arial" w:cs="Arial"/>
        </w:rPr>
        <w:t xml:space="preserve">. International Monetary Fund. Available at: </w:t>
      </w:r>
      <w:hyperlink r:id="rId20" w:tgtFrame="_new" w:history="1">
        <w:r w:rsidRPr="002B61DF">
          <w:rPr>
            <w:rStyle w:val="Hyperlink"/>
            <w:rFonts w:ascii="Arial" w:hAnsi="Arial" w:cs="Arial"/>
          </w:rPr>
          <w:t>https://www.imf.org/en/publications/weo/issues/2025/10/14/world-economic-outlook-october-2025</w:t>
        </w:r>
      </w:hyperlink>
      <w:r w:rsidRPr="002B61DF">
        <w:rPr>
          <w:rFonts w:ascii="Arial" w:hAnsi="Arial" w:cs="Arial"/>
        </w:rPr>
        <w:t xml:space="preserve"> (Accessed: 12 May 2026).</w:t>
      </w:r>
    </w:p>
    <w:p w14:paraId="57108BB3"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Markowitz, H. (1952) ‘Portfolio selection’, </w:t>
      </w:r>
      <w:r w:rsidRPr="002B61DF">
        <w:rPr>
          <w:rStyle w:val="Emphasis"/>
          <w:rFonts w:ascii="Arial" w:hAnsi="Arial" w:cs="Arial"/>
        </w:rPr>
        <w:t>Journal of Finance</w:t>
      </w:r>
      <w:r w:rsidRPr="002B61DF">
        <w:rPr>
          <w:rFonts w:ascii="Arial" w:hAnsi="Arial" w:cs="Arial"/>
        </w:rPr>
        <w:t>, 7(1), pp. 77–91.</w:t>
      </w:r>
    </w:p>
    <w:p w14:paraId="30CC408C"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RBA (2025a) </w:t>
      </w:r>
      <w:r w:rsidRPr="002B61DF">
        <w:rPr>
          <w:rStyle w:val="Emphasis"/>
          <w:rFonts w:ascii="Arial" w:hAnsi="Arial" w:cs="Arial"/>
        </w:rPr>
        <w:t>Statement on Monetary Policy – November 2025: Overview</w:t>
      </w:r>
      <w:r w:rsidRPr="002B61DF">
        <w:rPr>
          <w:rFonts w:ascii="Arial" w:hAnsi="Arial" w:cs="Arial"/>
        </w:rPr>
        <w:t xml:space="preserve">. Reserve Bank of Australia. Available at: </w:t>
      </w:r>
      <w:hyperlink r:id="rId21" w:tgtFrame="_new" w:history="1">
        <w:r w:rsidRPr="002B61DF">
          <w:rPr>
            <w:rStyle w:val="Hyperlink"/>
            <w:rFonts w:ascii="Arial" w:hAnsi="Arial" w:cs="Arial"/>
          </w:rPr>
          <w:t>https://www.rba.gov.au/publications/smp/2025/nov/overview.html</w:t>
        </w:r>
      </w:hyperlink>
      <w:r w:rsidRPr="002B61DF">
        <w:rPr>
          <w:rFonts w:ascii="Arial" w:hAnsi="Arial" w:cs="Arial"/>
        </w:rPr>
        <w:t xml:space="preserve"> (Accessed: 12 May 2026).</w:t>
      </w:r>
    </w:p>
    <w:p w14:paraId="26D511A1"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RBA (2025b) </w:t>
      </w:r>
      <w:r w:rsidRPr="002B61DF">
        <w:rPr>
          <w:rStyle w:val="Emphasis"/>
          <w:rFonts w:ascii="Arial" w:hAnsi="Arial" w:cs="Arial"/>
        </w:rPr>
        <w:t>Statement on Monetary Policy – November 2025: Outlook</w:t>
      </w:r>
      <w:r w:rsidRPr="002B61DF">
        <w:rPr>
          <w:rFonts w:ascii="Arial" w:hAnsi="Arial" w:cs="Arial"/>
        </w:rPr>
        <w:t xml:space="preserve">. Reserve Bank of Australia. Available at: </w:t>
      </w:r>
      <w:hyperlink r:id="rId22" w:tgtFrame="_new" w:history="1">
        <w:r w:rsidRPr="002B61DF">
          <w:rPr>
            <w:rStyle w:val="Hyperlink"/>
            <w:rFonts w:ascii="Arial" w:hAnsi="Arial" w:cs="Arial"/>
          </w:rPr>
          <w:t>https://www.rba.gov.au/publications/smp/2025/nov/outlook.html</w:t>
        </w:r>
      </w:hyperlink>
      <w:r w:rsidRPr="002B61DF">
        <w:rPr>
          <w:rFonts w:ascii="Arial" w:hAnsi="Arial" w:cs="Arial"/>
        </w:rPr>
        <w:t xml:space="preserve"> (Accessed: 12 May 2026).</w:t>
      </w:r>
    </w:p>
    <w:p w14:paraId="57120E00"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Reuters (2025a) </w:t>
      </w:r>
      <w:r w:rsidRPr="002B61DF">
        <w:rPr>
          <w:rStyle w:val="Emphasis"/>
          <w:rFonts w:ascii="Arial" w:hAnsi="Arial" w:cs="Arial"/>
        </w:rPr>
        <w:t>ANZ CEO Nuno Matos vows to cut costs as bank faces margin pressure in 2026</w:t>
      </w:r>
      <w:r w:rsidRPr="002B61DF">
        <w:rPr>
          <w:rFonts w:ascii="Arial" w:hAnsi="Arial" w:cs="Arial"/>
        </w:rPr>
        <w:t xml:space="preserve">. Available at: </w:t>
      </w:r>
      <w:hyperlink r:id="rId23" w:tgtFrame="_new" w:history="1">
        <w:r w:rsidRPr="002B61DF">
          <w:rPr>
            <w:rStyle w:val="Hyperlink"/>
            <w:rFonts w:ascii="Arial" w:hAnsi="Arial" w:cs="Arial"/>
          </w:rPr>
          <w:t>https://www.reuters.com/business/finance/australias-anz-posts-lower-annual-profit-one-off-charge-margin-pressure-2025-11-09/</w:t>
        </w:r>
      </w:hyperlink>
      <w:r w:rsidRPr="002B61DF">
        <w:rPr>
          <w:rFonts w:ascii="Arial" w:hAnsi="Arial" w:cs="Arial"/>
        </w:rPr>
        <w:t xml:space="preserve"> (Accessed: 12 May 2026).</w:t>
      </w:r>
    </w:p>
    <w:p w14:paraId="6AAFFEE6"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Reuters (2025b) </w:t>
      </w:r>
      <w:r w:rsidRPr="002B61DF">
        <w:rPr>
          <w:rStyle w:val="Emphasis"/>
          <w:rFonts w:ascii="Arial" w:hAnsi="Arial" w:cs="Arial"/>
        </w:rPr>
        <w:t>CSL to axe up to 3,000 employees and spin off vaccine arm; shares tumble</w:t>
      </w:r>
      <w:r w:rsidRPr="002B61DF">
        <w:rPr>
          <w:rFonts w:ascii="Arial" w:hAnsi="Arial" w:cs="Arial"/>
        </w:rPr>
        <w:t xml:space="preserve">. Available at: </w:t>
      </w:r>
      <w:hyperlink r:id="rId24" w:tgtFrame="_new" w:history="1">
        <w:r w:rsidRPr="002B61DF">
          <w:rPr>
            <w:rStyle w:val="Hyperlink"/>
            <w:rFonts w:ascii="Arial" w:hAnsi="Arial" w:cs="Arial"/>
          </w:rPr>
          <w:t>https://www.reuters.com/business/healthcare-pharmaceuticals/csl-axe-up-3000-employees-spin-off-vaccine-arm-shares-tumble-2025-08-19/</w:t>
        </w:r>
      </w:hyperlink>
      <w:r w:rsidRPr="002B61DF">
        <w:rPr>
          <w:rFonts w:ascii="Arial" w:hAnsi="Arial" w:cs="Arial"/>
        </w:rPr>
        <w:t xml:space="preserve"> (Accessed: 12 May 2026).</w:t>
      </w:r>
    </w:p>
    <w:p w14:paraId="7CD2A2C8"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Reuters (2025c) </w:t>
      </w:r>
      <w:r w:rsidRPr="002B61DF">
        <w:rPr>
          <w:rStyle w:val="Emphasis"/>
          <w:rFonts w:ascii="Arial" w:hAnsi="Arial" w:cs="Arial"/>
        </w:rPr>
        <w:t xml:space="preserve">CSL delays spin-off, cuts profit outlook as US vaccination rates </w:t>
      </w:r>
      <w:proofErr w:type="gramStart"/>
      <w:r w:rsidRPr="002B61DF">
        <w:rPr>
          <w:rStyle w:val="Emphasis"/>
          <w:rFonts w:ascii="Arial" w:hAnsi="Arial" w:cs="Arial"/>
        </w:rPr>
        <w:t>slide</w:t>
      </w:r>
      <w:proofErr w:type="gramEnd"/>
      <w:r w:rsidRPr="002B61DF">
        <w:rPr>
          <w:rFonts w:ascii="Arial" w:hAnsi="Arial" w:cs="Arial"/>
        </w:rPr>
        <w:t xml:space="preserve">. Available at: </w:t>
      </w:r>
      <w:hyperlink r:id="rId25" w:tgtFrame="_new" w:history="1">
        <w:r w:rsidRPr="002B61DF">
          <w:rPr>
            <w:rStyle w:val="Hyperlink"/>
            <w:rFonts w:ascii="Arial" w:hAnsi="Arial" w:cs="Arial"/>
          </w:rPr>
          <w:t>https://www.reuters.com/business/healthcare-pharmaceuticals/australias-csl-delays-vaccine-division-spin-off-amid-us-market-volatility-2025-10-27/</w:t>
        </w:r>
      </w:hyperlink>
      <w:r w:rsidRPr="002B61DF">
        <w:rPr>
          <w:rFonts w:ascii="Arial" w:hAnsi="Arial" w:cs="Arial"/>
        </w:rPr>
        <w:t xml:space="preserve"> (Accessed: 12 May 2026).</w:t>
      </w:r>
    </w:p>
    <w:p w14:paraId="37BBBBB5" w14:textId="77777777" w:rsidR="002B61DF" w:rsidRPr="002B61DF" w:rsidRDefault="002B61DF" w:rsidP="002B61DF">
      <w:pPr>
        <w:pStyle w:val="NormalWeb"/>
        <w:spacing w:line="360" w:lineRule="auto"/>
        <w:rPr>
          <w:rFonts w:ascii="Arial" w:hAnsi="Arial" w:cs="Arial"/>
        </w:rPr>
      </w:pPr>
      <w:r w:rsidRPr="002B61DF">
        <w:rPr>
          <w:rFonts w:ascii="Arial" w:hAnsi="Arial" w:cs="Arial"/>
        </w:rPr>
        <w:lastRenderedPageBreak/>
        <w:t xml:space="preserve">Reuters (2026a) </w:t>
      </w:r>
      <w:r w:rsidRPr="002B61DF">
        <w:rPr>
          <w:rStyle w:val="Emphasis"/>
          <w:rFonts w:ascii="Arial" w:hAnsi="Arial" w:cs="Arial"/>
        </w:rPr>
        <w:t>ANZ Group cash profit jumps, shares hit record high on cost cuts</w:t>
      </w:r>
      <w:r w:rsidRPr="002B61DF">
        <w:rPr>
          <w:rFonts w:ascii="Arial" w:hAnsi="Arial" w:cs="Arial"/>
        </w:rPr>
        <w:t xml:space="preserve">. Available at: </w:t>
      </w:r>
      <w:hyperlink r:id="rId26" w:tgtFrame="_new" w:history="1">
        <w:r w:rsidRPr="002B61DF">
          <w:rPr>
            <w:rStyle w:val="Hyperlink"/>
            <w:rFonts w:ascii="Arial" w:hAnsi="Arial" w:cs="Arial"/>
          </w:rPr>
          <w:t>https://www.reuters.com/business/finance/anz-group-cash-profit-jumps-17-q1-lower-costs-2026-02-11/</w:t>
        </w:r>
      </w:hyperlink>
      <w:r w:rsidRPr="002B61DF">
        <w:rPr>
          <w:rFonts w:ascii="Arial" w:hAnsi="Arial" w:cs="Arial"/>
        </w:rPr>
        <w:t xml:space="preserve"> (Accessed: 12 May 2026).</w:t>
      </w:r>
    </w:p>
    <w:p w14:paraId="381CDBB5"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Sharpe, W.F. (1964) ‘Capital asset prices: A theory of market equilibrium under conditions of risk’, </w:t>
      </w:r>
      <w:r w:rsidRPr="002B61DF">
        <w:rPr>
          <w:rStyle w:val="Emphasis"/>
          <w:rFonts w:ascii="Arial" w:hAnsi="Arial" w:cs="Arial"/>
        </w:rPr>
        <w:t>Journal of Finance</w:t>
      </w:r>
      <w:r w:rsidRPr="002B61DF">
        <w:rPr>
          <w:rFonts w:ascii="Arial" w:hAnsi="Arial" w:cs="Arial"/>
        </w:rPr>
        <w:t>, 19(3), pp. 425–442.</w:t>
      </w:r>
    </w:p>
    <w:p w14:paraId="46257722" w14:textId="77777777" w:rsidR="002B61DF" w:rsidRPr="002B61DF" w:rsidRDefault="002B61DF" w:rsidP="002B61DF">
      <w:pPr>
        <w:pStyle w:val="NormalWeb"/>
        <w:spacing w:line="360" w:lineRule="auto"/>
        <w:rPr>
          <w:rFonts w:ascii="Arial" w:hAnsi="Arial" w:cs="Arial"/>
        </w:rPr>
      </w:pPr>
      <w:proofErr w:type="spellStart"/>
      <w:r w:rsidRPr="002B61DF">
        <w:rPr>
          <w:rFonts w:ascii="Arial" w:hAnsi="Arial" w:cs="Arial"/>
        </w:rPr>
        <w:t>StockAnalysis</w:t>
      </w:r>
      <w:proofErr w:type="spellEnd"/>
      <w:r w:rsidRPr="002B61DF">
        <w:rPr>
          <w:rFonts w:ascii="Arial" w:hAnsi="Arial" w:cs="Arial"/>
        </w:rPr>
        <w:t xml:space="preserve"> (2026a) </w:t>
      </w:r>
      <w:r w:rsidRPr="002B61DF">
        <w:rPr>
          <w:rStyle w:val="Emphasis"/>
          <w:rFonts w:ascii="Arial" w:hAnsi="Arial" w:cs="Arial"/>
        </w:rPr>
        <w:t>ANZ Group Holdings Limited (ASX: ANZ) stock price and overview</w:t>
      </w:r>
      <w:r w:rsidRPr="002B61DF">
        <w:rPr>
          <w:rFonts w:ascii="Arial" w:hAnsi="Arial" w:cs="Arial"/>
        </w:rPr>
        <w:t xml:space="preserve">. Available at: </w:t>
      </w:r>
      <w:hyperlink r:id="rId27" w:tgtFrame="_new" w:history="1">
        <w:r w:rsidRPr="002B61DF">
          <w:rPr>
            <w:rStyle w:val="Hyperlink"/>
            <w:rFonts w:ascii="Arial" w:hAnsi="Arial" w:cs="Arial"/>
          </w:rPr>
          <w:t>https://stockanalysis.com/quote/asx/ANZ/</w:t>
        </w:r>
      </w:hyperlink>
      <w:r w:rsidRPr="002B61DF">
        <w:rPr>
          <w:rFonts w:ascii="Arial" w:hAnsi="Arial" w:cs="Arial"/>
        </w:rPr>
        <w:t xml:space="preserve"> (Accessed: 12 May 2026).</w:t>
      </w:r>
    </w:p>
    <w:p w14:paraId="26583F07" w14:textId="77777777" w:rsidR="002B61DF" w:rsidRPr="002B61DF" w:rsidRDefault="002B61DF" w:rsidP="002B61DF">
      <w:pPr>
        <w:pStyle w:val="NormalWeb"/>
        <w:spacing w:line="360" w:lineRule="auto"/>
        <w:rPr>
          <w:rFonts w:ascii="Arial" w:hAnsi="Arial" w:cs="Arial"/>
        </w:rPr>
      </w:pPr>
      <w:proofErr w:type="spellStart"/>
      <w:r w:rsidRPr="002B61DF">
        <w:rPr>
          <w:rFonts w:ascii="Arial" w:hAnsi="Arial" w:cs="Arial"/>
        </w:rPr>
        <w:t>StockAnalysis</w:t>
      </w:r>
      <w:proofErr w:type="spellEnd"/>
      <w:r w:rsidRPr="002B61DF">
        <w:rPr>
          <w:rFonts w:ascii="Arial" w:hAnsi="Arial" w:cs="Arial"/>
        </w:rPr>
        <w:t xml:space="preserve"> (2026b) </w:t>
      </w:r>
      <w:r w:rsidRPr="002B61DF">
        <w:rPr>
          <w:rStyle w:val="Emphasis"/>
          <w:rFonts w:ascii="Arial" w:hAnsi="Arial" w:cs="Arial"/>
        </w:rPr>
        <w:t>CSL Limited (ASX: CSL) stock price and overview</w:t>
      </w:r>
      <w:r w:rsidRPr="002B61DF">
        <w:rPr>
          <w:rFonts w:ascii="Arial" w:hAnsi="Arial" w:cs="Arial"/>
        </w:rPr>
        <w:t xml:space="preserve">. Available at: </w:t>
      </w:r>
      <w:hyperlink r:id="rId28" w:tgtFrame="_new" w:history="1">
        <w:r w:rsidRPr="002B61DF">
          <w:rPr>
            <w:rStyle w:val="Hyperlink"/>
            <w:rFonts w:ascii="Arial" w:hAnsi="Arial" w:cs="Arial"/>
          </w:rPr>
          <w:t>https://stockanalysis.com/quote/asx/CSL/</w:t>
        </w:r>
      </w:hyperlink>
      <w:r w:rsidRPr="002B61DF">
        <w:rPr>
          <w:rFonts w:ascii="Arial" w:hAnsi="Arial" w:cs="Arial"/>
        </w:rPr>
        <w:t xml:space="preserve"> (Accessed: 12 May 2026).</w:t>
      </w:r>
    </w:p>
    <w:p w14:paraId="2276A3B2"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Yahoo Finance (2026a) </w:t>
      </w:r>
      <w:r w:rsidRPr="002B61DF">
        <w:rPr>
          <w:rStyle w:val="Emphasis"/>
          <w:rFonts w:ascii="Arial" w:hAnsi="Arial" w:cs="Arial"/>
        </w:rPr>
        <w:t>ANZ Group Holdings Limited (ANZ.AX) historical prices</w:t>
      </w:r>
      <w:r w:rsidRPr="002B61DF">
        <w:rPr>
          <w:rFonts w:ascii="Arial" w:hAnsi="Arial" w:cs="Arial"/>
        </w:rPr>
        <w:t xml:space="preserve">. Available at: </w:t>
      </w:r>
      <w:hyperlink r:id="rId29" w:tgtFrame="_new" w:history="1">
        <w:r w:rsidRPr="002B61DF">
          <w:rPr>
            <w:rStyle w:val="Hyperlink"/>
            <w:rFonts w:ascii="Arial" w:hAnsi="Arial" w:cs="Arial"/>
          </w:rPr>
          <w:t>https://uk.finance.yahoo.com/quote/ANZ.AX/history/</w:t>
        </w:r>
      </w:hyperlink>
      <w:r w:rsidRPr="002B61DF">
        <w:rPr>
          <w:rFonts w:ascii="Arial" w:hAnsi="Arial" w:cs="Arial"/>
        </w:rPr>
        <w:t xml:space="preserve"> (Accessed: 12 May 2026).</w:t>
      </w:r>
    </w:p>
    <w:p w14:paraId="3C72A753" w14:textId="77777777" w:rsidR="002B61DF" w:rsidRPr="002B61DF" w:rsidRDefault="002B61DF" w:rsidP="002B61DF">
      <w:pPr>
        <w:pStyle w:val="NormalWeb"/>
        <w:spacing w:line="360" w:lineRule="auto"/>
        <w:rPr>
          <w:rFonts w:ascii="Arial" w:hAnsi="Arial" w:cs="Arial"/>
        </w:rPr>
      </w:pPr>
      <w:r w:rsidRPr="002B61DF">
        <w:rPr>
          <w:rFonts w:ascii="Arial" w:hAnsi="Arial" w:cs="Arial"/>
        </w:rPr>
        <w:t xml:space="preserve">Yahoo Finance (2026b) </w:t>
      </w:r>
      <w:r w:rsidRPr="002B61DF">
        <w:rPr>
          <w:rStyle w:val="Emphasis"/>
          <w:rFonts w:ascii="Arial" w:hAnsi="Arial" w:cs="Arial"/>
        </w:rPr>
        <w:t>CSL Limited (CSL.AX) historical prices</w:t>
      </w:r>
      <w:r w:rsidRPr="002B61DF">
        <w:rPr>
          <w:rFonts w:ascii="Arial" w:hAnsi="Arial" w:cs="Arial"/>
        </w:rPr>
        <w:t xml:space="preserve">. Available at: </w:t>
      </w:r>
      <w:hyperlink r:id="rId30" w:tgtFrame="_new" w:history="1">
        <w:r w:rsidRPr="002B61DF">
          <w:rPr>
            <w:rStyle w:val="Hyperlink"/>
            <w:rFonts w:ascii="Arial" w:hAnsi="Arial" w:cs="Arial"/>
          </w:rPr>
          <w:t>https://uk.finance.yahoo.com/quote/CSL.AX/history/</w:t>
        </w:r>
      </w:hyperlink>
      <w:r w:rsidRPr="002B61DF">
        <w:rPr>
          <w:rFonts w:ascii="Arial" w:hAnsi="Arial" w:cs="Arial"/>
        </w:rPr>
        <w:t xml:space="preserve"> (Accessed: 12 May 2026).</w:t>
      </w:r>
    </w:p>
    <w:p w14:paraId="79364D85" w14:textId="77777777" w:rsidR="002B61DF" w:rsidRPr="002B61DF" w:rsidRDefault="002B61DF" w:rsidP="002B61DF">
      <w:pPr>
        <w:pStyle w:val="NormalWeb"/>
        <w:spacing w:line="360" w:lineRule="auto"/>
        <w:rPr>
          <w:rFonts w:ascii="Arial" w:hAnsi="Arial" w:cs="Arial"/>
        </w:rPr>
      </w:pPr>
    </w:p>
    <w:p w14:paraId="64DCCC9E" w14:textId="77777777" w:rsidR="002B61DF" w:rsidRPr="002B61DF" w:rsidRDefault="002B61DF" w:rsidP="002B61DF">
      <w:pPr>
        <w:pStyle w:val="NormalWeb"/>
        <w:spacing w:line="360" w:lineRule="auto"/>
        <w:rPr>
          <w:rFonts w:ascii="Arial" w:hAnsi="Arial" w:cs="Arial"/>
        </w:rPr>
      </w:pPr>
    </w:p>
    <w:p w14:paraId="50AFAF88" w14:textId="77777777" w:rsidR="002B61DF" w:rsidRPr="002B61DF" w:rsidRDefault="002B61DF" w:rsidP="002B61DF">
      <w:pPr>
        <w:pStyle w:val="NormalWeb"/>
        <w:spacing w:line="360" w:lineRule="auto"/>
        <w:rPr>
          <w:rFonts w:ascii="Arial" w:hAnsi="Arial" w:cs="Arial"/>
        </w:rPr>
      </w:pPr>
    </w:p>
    <w:p w14:paraId="047593E8" w14:textId="77777777" w:rsidR="002B61DF" w:rsidRPr="002B61DF" w:rsidRDefault="002B61DF" w:rsidP="002B61DF">
      <w:pPr>
        <w:pStyle w:val="NormalWeb"/>
        <w:spacing w:line="360" w:lineRule="auto"/>
        <w:rPr>
          <w:rFonts w:ascii="Arial" w:hAnsi="Arial" w:cs="Arial"/>
        </w:rPr>
      </w:pPr>
    </w:p>
    <w:p w14:paraId="02A181E0" w14:textId="77777777" w:rsidR="002B61DF" w:rsidRPr="002B61DF" w:rsidRDefault="002B61DF" w:rsidP="002B61DF">
      <w:pPr>
        <w:pStyle w:val="NormalWeb"/>
        <w:spacing w:line="360" w:lineRule="auto"/>
        <w:rPr>
          <w:rFonts w:ascii="Arial" w:hAnsi="Arial" w:cs="Arial"/>
        </w:rPr>
      </w:pPr>
    </w:p>
    <w:p w14:paraId="65C6325E" w14:textId="77777777" w:rsidR="002B61DF" w:rsidRPr="002B61DF" w:rsidRDefault="002B61DF" w:rsidP="002B61DF">
      <w:pPr>
        <w:pStyle w:val="NormalWeb"/>
        <w:spacing w:line="360" w:lineRule="auto"/>
        <w:rPr>
          <w:rFonts w:ascii="Arial" w:hAnsi="Arial" w:cs="Arial"/>
        </w:rPr>
      </w:pPr>
    </w:p>
    <w:p w14:paraId="0971A8DD" w14:textId="729E4512" w:rsidR="002B61DF" w:rsidRPr="002B61DF" w:rsidRDefault="002B61DF" w:rsidP="002B61DF">
      <w:pPr>
        <w:pStyle w:val="NormalWeb"/>
        <w:spacing w:line="360" w:lineRule="auto"/>
        <w:rPr>
          <w:rFonts w:ascii="Arial" w:hAnsi="Arial" w:cs="Arial"/>
        </w:rPr>
      </w:pPr>
    </w:p>
    <w:p w14:paraId="6E71B26F" w14:textId="77777777" w:rsidR="00475888" w:rsidRPr="002B61DF" w:rsidRDefault="00000000" w:rsidP="002B61DF">
      <w:pPr>
        <w:pStyle w:val="Heading1"/>
      </w:pPr>
      <w:bookmarkStart w:id="17" w:name="_Toc229524588"/>
      <w:r w:rsidRPr="002B61DF">
        <w:lastRenderedPageBreak/>
        <w:t>Appendix A: Monthly adjusted price and return data</w:t>
      </w:r>
      <w:bookmarkEnd w:id="17"/>
    </w:p>
    <w:p w14:paraId="2225B0DC" w14:textId="63E563DC" w:rsidR="00CA3A2C" w:rsidRPr="002B61DF" w:rsidRDefault="00CA3A2C" w:rsidP="002B61DF">
      <w:pPr>
        <w:spacing w:after="160" w:line="360" w:lineRule="auto"/>
        <w:jc w:val="both"/>
        <w:rPr>
          <w:rFonts w:cs="Arial"/>
        </w:rPr>
      </w:pPr>
      <w:r w:rsidRPr="002B61DF">
        <w:rPr>
          <w:rFonts w:cs="Arial"/>
        </w:rPr>
        <w:t xml:space="preserve">The monthly adjusted prices are taken from </w:t>
      </w:r>
      <w:proofErr w:type="spellStart"/>
      <w:r w:rsidRPr="002B61DF">
        <w:rPr>
          <w:rFonts w:cs="Arial"/>
        </w:rPr>
        <w:t>Digrin</w:t>
      </w:r>
      <w:proofErr w:type="spellEnd"/>
      <w:r w:rsidRPr="002B61DF">
        <w:rPr>
          <w:rFonts w:cs="Arial"/>
        </w:rPr>
        <w:t xml:space="preserve"> (2026a, b). Monthly return is equal to price in the current month after adjusting for inflation, divided by price in previous month after adjusting for inflation, minus one. The monthly returns are used to calculate the </w:t>
      </w:r>
      <w:proofErr w:type="spellStart"/>
      <w:r w:rsidRPr="002B61DF">
        <w:rPr>
          <w:rFonts w:cs="Arial"/>
        </w:rPr>
        <w:t>annualised</w:t>
      </w:r>
      <w:proofErr w:type="spellEnd"/>
      <w:r w:rsidRPr="002B61DF">
        <w:rPr>
          <w:rFonts w:cs="Arial"/>
        </w:rPr>
        <w:t xml:space="preserve"> risk and correlation in the main essay.</w:t>
      </w:r>
    </w:p>
    <w:tbl>
      <w:tblPr>
        <w:tblStyle w:val="TableGrid"/>
        <w:tblW w:w="0" w:type="auto"/>
        <w:jc w:val="center"/>
        <w:tblLook w:val="04A0" w:firstRow="1" w:lastRow="0" w:firstColumn="1" w:lastColumn="0" w:noHBand="0" w:noVBand="1"/>
      </w:tblPr>
      <w:tblGrid>
        <w:gridCol w:w="1881"/>
        <w:gridCol w:w="1881"/>
        <w:gridCol w:w="1881"/>
        <w:gridCol w:w="1881"/>
        <w:gridCol w:w="1881"/>
      </w:tblGrid>
      <w:tr w:rsidR="00475888" w:rsidRPr="002B61DF" w14:paraId="1BC8DA15" w14:textId="77777777">
        <w:trPr>
          <w:jc w:val="center"/>
        </w:trPr>
        <w:tc>
          <w:tcPr>
            <w:tcW w:w="1881" w:type="dxa"/>
            <w:shd w:val="clear" w:color="auto" w:fill="D9EAF7"/>
            <w:vAlign w:val="center"/>
          </w:tcPr>
          <w:p w14:paraId="4EB6FEC6" w14:textId="77777777" w:rsidR="00475888" w:rsidRPr="002B61DF" w:rsidRDefault="00000000" w:rsidP="002B61DF">
            <w:pPr>
              <w:spacing w:line="360" w:lineRule="auto"/>
              <w:jc w:val="center"/>
              <w:rPr>
                <w:rFonts w:cs="Arial"/>
                <w:szCs w:val="24"/>
              </w:rPr>
            </w:pPr>
            <w:r w:rsidRPr="002B61DF">
              <w:rPr>
                <w:rFonts w:cs="Arial"/>
                <w:b/>
                <w:szCs w:val="24"/>
              </w:rPr>
              <w:t>Month</w:t>
            </w:r>
          </w:p>
        </w:tc>
        <w:tc>
          <w:tcPr>
            <w:tcW w:w="1881" w:type="dxa"/>
            <w:shd w:val="clear" w:color="auto" w:fill="D9EAF7"/>
            <w:vAlign w:val="center"/>
          </w:tcPr>
          <w:p w14:paraId="5D58DC54" w14:textId="77777777" w:rsidR="00475888" w:rsidRPr="002B61DF" w:rsidRDefault="00000000" w:rsidP="002B61DF">
            <w:pPr>
              <w:spacing w:line="360" w:lineRule="auto"/>
              <w:jc w:val="center"/>
              <w:rPr>
                <w:rFonts w:cs="Arial"/>
                <w:szCs w:val="24"/>
              </w:rPr>
            </w:pPr>
            <w:r w:rsidRPr="002B61DF">
              <w:rPr>
                <w:rFonts w:cs="Arial"/>
                <w:b/>
                <w:szCs w:val="24"/>
              </w:rPr>
              <w:t>ANZ adjusted price</w:t>
            </w:r>
          </w:p>
        </w:tc>
        <w:tc>
          <w:tcPr>
            <w:tcW w:w="1881" w:type="dxa"/>
            <w:shd w:val="clear" w:color="auto" w:fill="D9EAF7"/>
            <w:vAlign w:val="center"/>
          </w:tcPr>
          <w:p w14:paraId="350959A9" w14:textId="77777777" w:rsidR="00475888" w:rsidRPr="002B61DF" w:rsidRDefault="00000000" w:rsidP="002B61DF">
            <w:pPr>
              <w:spacing w:line="360" w:lineRule="auto"/>
              <w:jc w:val="center"/>
              <w:rPr>
                <w:rFonts w:cs="Arial"/>
                <w:szCs w:val="24"/>
              </w:rPr>
            </w:pPr>
            <w:r w:rsidRPr="002B61DF">
              <w:rPr>
                <w:rFonts w:cs="Arial"/>
                <w:b/>
                <w:szCs w:val="24"/>
              </w:rPr>
              <w:t>ANZ monthly return</w:t>
            </w:r>
          </w:p>
        </w:tc>
        <w:tc>
          <w:tcPr>
            <w:tcW w:w="1881" w:type="dxa"/>
            <w:shd w:val="clear" w:color="auto" w:fill="D9EAF7"/>
            <w:vAlign w:val="center"/>
          </w:tcPr>
          <w:p w14:paraId="42C16563" w14:textId="77777777" w:rsidR="00475888" w:rsidRPr="002B61DF" w:rsidRDefault="00000000" w:rsidP="002B61DF">
            <w:pPr>
              <w:spacing w:line="360" w:lineRule="auto"/>
              <w:jc w:val="center"/>
              <w:rPr>
                <w:rFonts w:cs="Arial"/>
                <w:szCs w:val="24"/>
              </w:rPr>
            </w:pPr>
            <w:r w:rsidRPr="002B61DF">
              <w:rPr>
                <w:rFonts w:cs="Arial"/>
                <w:b/>
                <w:szCs w:val="24"/>
              </w:rPr>
              <w:t>CSL adjusted price</w:t>
            </w:r>
          </w:p>
        </w:tc>
        <w:tc>
          <w:tcPr>
            <w:tcW w:w="1881" w:type="dxa"/>
            <w:shd w:val="clear" w:color="auto" w:fill="D9EAF7"/>
            <w:vAlign w:val="center"/>
          </w:tcPr>
          <w:p w14:paraId="105B5B43" w14:textId="77777777" w:rsidR="00475888" w:rsidRPr="002B61DF" w:rsidRDefault="00000000" w:rsidP="002B61DF">
            <w:pPr>
              <w:spacing w:line="360" w:lineRule="auto"/>
              <w:jc w:val="center"/>
              <w:rPr>
                <w:rFonts w:cs="Arial"/>
                <w:szCs w:val="24"/>
              </w:rPr>
            </w:pPr>
            <w:r w:rsidRPr="002B61DF">
              <w:rPr>
                <w:rFonts w:cs="Arial"/>
                <w:b/>
                <w:szCs w:val="24"/>
              </w:rPr>
              <w:t>CSL monthly return</w:t>
            </w:r>
          </w:p>
        </w:tc>
      </w:tr>
      <w:tr w:rsidR="00475888" w:rsidRPr="002B61DF" w14:paraId="16C6B3FF" w14:textId="77777777">
        <w:trPr>
          <w:jc w:val="center"/>
        </w:trPr>
        <w:tc>
          <w:tcPr>
            <w:tcW w:w="1881" w:type="dxa"/>
            <w:vAlign w:val="center"/>
          </w:tcPr>
          <w:p w14:paraId="036308B6" w14:textId="77777777" w:rsidR="00475888" w:rsidRPr="002B61DF" w:rsidRDefault="00000000" w:rsidP="002B61DF">
            <w:pPr>
              <w:spacing w:line="360" w:lineRule="auto"/>
              <w:rPr>
                <w:rFonts w:cs="Arial"/>
                <w:szCs w:val="24"/>
              </w:rPr>
            </w:pPr>
            <w:r w:rsidRPr="002B61DF">
              <w:rPr>
                <w:rFonts w:cs="Arial"/>
                <w:szCs w:val="24"/>
              </w:rPr>
              <w:t>Dec 2023</w:t>
            </w:r>
          </w:p>
        </w:tc>
        <w:tc>
          <w:tcPr>
            <w:tcW w:w="1881" w:type="dxa"/>
            <w:vAlign w:val="center"/>
          </w:tcPr>
          <w:p w14:paraId="0951E09F" w14:textId="77777777" w:rsidR="00475888" w:rsidRPr="002B61DF" w:rsidRDefault="00000000" w:rsidP="002B61DF">
            <w:pPr>
              <w:spacing w:line="360" w:lineRule="auto"/>
              <w:rPr>
                <w:rFonts w:cs="Arial"/>
                <w:szCs w:val="24"/>
              </w:rPr>
            </w:pPr>
            <w:r w:rsidRPr="002B61DF">
              <w:rPr>
                <w:rFonts w:cs="Arial"/>
                <w:szCs w:val="24"/>
              </w:rPr>
              <w:t>23.33</w:t>
            </w:r>
          </w:p>
        </w:tc>
        <w:tc>
          <w:tcPr>
            <w:tcW w:w="1881" w:type="dxa"/>
            <w:vAlign w:val="center"/>
          </w:tcPr>
          <w:p w14:paraId="2522F793" w14:textId="77777777" w:rsidR="00475888" w:rsidRPr="002B61DF" w:rsidRDefault="00000000" w:rsidP="002B61DF">
            <w:pPr>
              <w:spacing w:line="360" w:lineRule="auto"/>
              <w:rPr>
                <w:rFonts w:cs="Arial"/>
                <w:szCs w:val="24"/>
              </w:rPr>
            </w:pPr>
            <w:r w:rsidRPr="002B61DF">
              <w:rPr>
                <w:rFonts w:cs="Arial"/>
                <w:szCs w:val="24"/>
              </w:rPr>
              <w:t>-</w:t>
            </w:r>
          </w:p>
        </w:tc>
        <w:tc>
          <w:tcPr>
            <w:tcW w:w="1881" w:type="dxa"/>
            <w:vAlign w:val="center"/>
          </w:tcPr>
          <w:p w14:paraId="498084A4" w14:textId="77777777" w:rsidR="00475888" w:rsidRPr="002B61DF" w:rsidRDefault="00000000" w:rsidP="002B61DF">
            <w:pPr>
              <w:spacing w:line="360" w:lineRule="auto"/>
              <w:rPr>
                <w:rFonts w:cs="Arial"/>
                <w:szCs w:val="24"/>
              </w:rPr>
            </w:pPr>
            <w:r w:rsidRPr="002B61DF">
              <w:rPr>
                <w:rFonts w:cs="Arial"/>
                <w:szCs w:val="24"/>
              </w:rPr>
              <w:t>273.74</w:t>
            </w:r>
          </w:p>
        </w:tc>
        <w:tc>
          <w:tcPr>
            <w:tcW w:w="1881" w:type="dxa"/>
            <w:vAlign w:val="center"/>
          </w:tcPr>
          <w:p w14:paraId="626D50EE" w14:textId="77777777" w:rsidR="00475888" w:rsidRPr="002B61DF" w:rsidRDefault="00000000" w:rsidP="002B61DF">
            <w:pPr>
              <w:spacing w:line="360" w:lineRule="auto"/>
              <w:rPr>
                <w:rFonts w:cs="Arial"/>
                <w:szCs w:val="24"/>
              </w:rPr>
            </w:pPr>
            <w:r w:rsidRPr="002B61DF">
              <w:rPr>
                <w:rFonts w:cs="Arial"/>
                <w:szCs w:val="24"/>
              </w:rPr>
              <w:t>-</w:t>
            </w:r>
          </w:p>
        </w:tc>
      </w:tr>
      <w:tr w:rsidR="00475888" w:rsidRPr="002B61DF" w14:paraId="0500952E" w14:textId="77777777">
        <w:trPr>
          <w:jc w:val="center"/>
        </w:trPr>
        <w:tc>
          <w:tcPr>
            <w:tcW w:w="1881" w:type="dxa"/>
            <w:vAlign w:val="center"/>
          </w:tcPr>
          <w:p w14:paraId="5FF408F0" w14:textId="77777777" w:rsidR="00475888" w:rsidRPr="002B61DF" w:rsidRDefault="00000000" w:rsidP="002B61DF">
            <w:pPr>
              <w:spacing w:line="360" w:lineRule="auto"/>
              <w:rPr>
                <w:rFonts w:cs="Arial"/>
                <w:szCs w:val="24"/>
              </w:rPr>
            </w:pPr>
            <w:r w:rsidRPr="002B61DF">
              <w:rPr>
                <w:rFonts w:cs="Arial"/>
                <w:szCs w:val="24"/>
              </w:rPr>
              <w:t>Jan 2024</w:t>
            </w:r>
          </w:p>
        </w:tc>
        <w:tc>
          <w:tcPr>
            <w:tcW w:w="1881" w:type="dxa"/>
            <w:vAlign w:val="center"/>
          </w:tcPr>
          <w:p w14:paraId="3007CE15" w14:textId="77777777" w:rsidR="00475888" w:rsidRPr="002B61DF" w:rsidRDefault="00000000" w:rsidP="002B61DF">
            <w:pPr>
              <w:spacing w:line="360" w:lineRule="auto"/>
              <w:rPr>
                <w:rFonts w:cs="Arial"/>
                <w:szCs w:val="24"/>
              </w:rPr>
            </w:pPr>
            <w:r w:rsidRPr="002B61DF">
              <w:rPr>
                <w:rFonts w:cs="Arial"/>
                <w:szCs w:val="24"/>
              </w:rPr>
              <w:t>24.48</w:t>
            </w:r>
          </w:p>
        </w:tc>
        <w:tc>
          <w:tcPr>
            <w:tcW w:w="1881" w:type="dxa"/>
            <w:vAlign w:val="center"/>
          </w:tcPr>
          <w:p w14:paraId="3679CEE0" w14:textId="77777777" w:rsidR="00475888" w:rsidRPr="002B61DF" w:rsidRDefault="00000000" w:rsidP="002B61DF">
            <w:pPr>
              <w:spacing w:line="360" w:lineRule="auto"/>
              <w:rPr>
                <w:rFonts w:cs="Arial"/>
                <w:szCs w:val="24"/>
              </w:rPr>
            </w:pPr>
            <w:r w:rsidRPr="002B61DF">
              <w:rPr>
                <w:rFonts w:cs="Arial"/>
                <w:szCs w:val="24"/>
              </w:rPr>
              <w:t>4.93%</w:t>
            </w:r>
          </w:p>
        </w:tc>
        <w:tc>
          <w:tcPr>
            <w:tcW w:w="1881" w:type="dxa"/>
            <w:vAlign w:val="center"/>
          </w:tcPr>
          <w:p w14:paraId="7A0239A5" w14:textId="77777777" w:rsidR="00475888" w:rsidRPr="002B61DF" w:rsidRDefault="00000000" w:rsidP="002B61DF">
            <w:pPr>
              <w:spacing w:line="360" w:lineRule="auto"/>
              <w:rPr>
                <w:rFonts w:cs="Arial"/>
                <w:szCs w:val="24"/>
              </w:rPr>
            </w:pPr>
            <w:r w:rsidRPr="002B61DF">
              <w:rPr>
                <w:rFonts w:cs="Arial"/>
                <w:szCs w:val="24"/>
              </w:rPr>
              <w:t>288.12</w:t>
            </w:r>
          </w:p>
        </w:tc>
        <w:tc>
          <w:tcPr>
            <w:tcW w:w="1881" w:type="dxa"/>
            <w:vAlign w:val="center"/>
          </w:tcPr>
          <w:p w14:paraId="426A59B7" w14:textId="77777777" w:rsidR="00475888" w:rsidRPr="002B61DF" w:rsidRDefault="00000000" w:rsidP="002B61DF">
            <w:pPr>
              <w:spacing w:line="360" w:lineRule="auto"/>
              <w:rPr>
                <w:rFonts w:cs="Arial"/>
                <w:szCs w:val="24"/>
              </w:rPr>
            </w:pPr>
            <w:r w:rsidRPr="002B61DF">
              <w:rPr>
                <w:rFonts w:cs="Arial"/>
                <w:szCs w:val="24"/>
              </w:rPr>
              <w:t>5.25%</w:t>
            </w:r>
          </w:p>
        </w:tc>
      </w:tr>
      <w:tr w:rsidR="00475888" w:rsidRPr="002B61DF" w14:paraId="027A4307" w14:textId="77777777">
        <w:trPr>
          <w:jc w:val="center"/>
        </w:trPr>
        <w:tc>
          <w:tcPr>
            <w:tcW w:w="1881" w:type="dxa"/>
            <w:vAlign w:val="center"/>
          </w:tcPr>
          <w:p w14:paraId="0267B512" w14:textId="77777777" w:rsidR="00475888" w:rsidRPr="002B61DF" w:rsidRDefault="00000000" w:rsidP="002B61DF">
            <w:pPr>
              <w:spacing w:line="360" w:lineRule="auto"/>
              <w:rPr>
                <w:rFonts w:cs="Arial"/>
                <w:szCs w:val="24"/>
              </w:rPr>
            </w:pPr>
            <w:r w:rsidRPr="002B61DF">
              <w:rPr>
                <w:rFonts w:cs="Arial"/>
                <w:szCs w:val="24"/>
              </w:rPr>
              <w:t>Feb 2024</w:t>
            </w:r>
          </w:p>
        </w:tc>
        <w:tc>
          <w:tcPr>
            <w:tcW w:w="1881" w:type="dxa"/>
            <w:vAlign w:val="center"/>
          </w:tcPr>
          <w:p w14:paraId="5F9A1F38" w14:textId="77777777" w:rsidR="00475888" w:rsidRPr="002B61DF" w:rsidRDefault="00000000" w:rsidP="002B61DF">
            <w:pPr>
              <w:spacing w:line="360" w:lineRule="auto"/>
              <w:rPr>
                <w:rFonts w:cs="Arial"/>
                <w:szCs w:val="24"/>
              </w:rPr>
            </w:pPr>
            <w:r w:rsidRPr="002B61DF">
              <w:rPr>
                <w:rFonts w:cs="Arial"/>
                <w:szCs w:val="24"/>
              </w:rPr>
              <w:t>25.61</w:t>
            </w:r>
          </w:p>
        </w:tc>
        <w:tc>
          <w:tcPr>
            <w:tcW w:w="1881" w:type="dxa"/>
            <w:vAlign w:val="center"/>
          </w:tcPr>
          <w:p w14:paraId="36ACA394" w14:textId="77777777" w:rsidR="00475888" w:rsidRPr="002B61DF" w:rsidRDefault="00000000" w:rsidP="002B61DF">
            <w:pPr>
              <w:spacing w:line="360" w:lineRule="auto"/>
              <w:rPr>
                <w:rFonts w:cs="Arial"/>
                <w:szCs w:val="24"/>
              </w:rPr>
            </w:pPr>
            <w:r w:rsidRPr="002B61DF">
              <w:rPr>
                <w:rFonts w:cs="Arial"/>
                <w:szCs w:val="24"/>
              </w:rPr>
              <w:t>4.62%</w:t>
            </w:r>
          </w:p>
        </w:tc>
        <w:tc>
          <w:tcPr>
            <w:tcW w:w="1881" w:type="dxa"/>
            <w:vAlign w:val="center"/>
          </w:tcPr>
          <w:p w14:paraId="180C3564" w14:textId="77777777" w:rsidR="00475888" w:rsidRPr="002B61DF" w:rsidRDefault="00000000" w:rsidP="002B61DF">
            <w:pPr>
              <w:spacing w:line="360" w:lineRule="auto"/>
              <w:rPr>
                <w:rFonts w:cs="Arial"/>
                <w:szCs w:val="24"/>
              </w:rPr>
            </w:pPr>
            <w:r w:rsidRPr="002B61DF">
              <w:rPr>
                <w:rFonts w:cs="Arial"/>
                <w:szCs w:val="24"/>
              </w:rPr>
              <w:t>273.35</w:t>
            </w:r>
          </w:p>
        </w:tc>
        <w:tc>
          <w:tcPr>
            <w:tcW w:w="1881" w:type="dxa"/>
            <w:vAlign w:val="center"/>
          </w:tcPr>
          <w:p w14:paraId="276901E4" w14:textId="77777777" w:rsidR="00475888" w:rsidRPr="002B61DF" w:rsidRDefault="00000000" w:rsidP="002B61DF">
            <w:pPr>
              <w:spacing w:line="360" w:lineRule="auto"/>
              <w:rPr>
                <w:rFonts w:cs="Arial"/>
                <w:szCs w:val="24"/>
              </w:rPr>
            </w:pPr>
            <w:r w:rsidRPr="002B61DF">
              <w:rPr>
                <w:rFonts w:cs="Arial"/>
                <w:szCs w:val="24"/>
              </w:rPr>
              <w:t>-5.13%</w:t>
            </w:r>
          </w:p>
        </w:tc>
      </w:tr>
      <w:tr w:rsidR="00475888" w:rsidRPr="002B61DF" w14:paraId="2B55B106" w14:textId="77777777">
        <w:trPr>
          <w:jc w:val="center"/>
        </w:trPr>
        <w:tc>
          <w:tcPr>
            <w:tcW w:w="1881" w:type="dxa"/>
            <w:vAlign w:val="center"/>
          </w:tcPr>
          <w:p w14:paraId="276A03B0" w14:textId="77777777" w:rsidR="00475888" w:rsidRPr="002B61DF" w:rsidRDefault="00000000" w:rsidP="002B61DF">
            <w:pPr>
              <w:spacing w:line="360" w:lineRule="auto"/>
              <w:rPr>
                <w:rFonts w:cs="Arial"/>
                <w:szCs w:val="24"/>
              </w:rPr>
            </w:pPr>
            <w:r w:rsidRPr="002B61DF">
              <w:rPr>
                <w:rFonts w:cs="Arial"/>
                <w:szCs w:val="24"/>
              </w:rPr>
              <w:t>Mar 2024</w:t>
            </w:r>
          </w:p>
        </w:tc>
        <w:tc>
          <w:tcPr>
            <w:tcW w:w="1881" w:type="dxa"/>
            <w:vAlign w:val="center"/>
          </w:tcPr>
          <w:p w14:paraId="291C4DDC" w14:textId="77777777" w:rsidR="00475888" w:rsidRPr="002B61DF" w:rsidRDefault="00000000" w:rsidP="002B61DF">
            <w:pPr>
              <w:spacing w:line="360" w:lineRule="auto"/>
              <w:rPr>
                <w:rFonts w:cs="Arial"/>
                <w:szCs w:val="24"/>
              </w:rPr>
            </w:pPr>
            <w:r w:rsidRPr="002B61DF">
              <w:rPr>
                <w:rFonts w:cs="Arial"/>
                <w:szCs w:val="24"/>
              </w:rPr>
              <w:t>26.46</w:t>
            </w:r>
          </w:p>
        </w:tc>
        <w:tc>
          <w:tcPr>
            <w:tcW w:w="1881" w:type="dxa"/>
            <w:vAlign w:val="center"/>
          </w:tcPr>
          <w:p w14:paraId="3DE3B003" w14:textId="77777777" w:rsidR="00475888" w:rsidRPr="002B61DF" w:rsidRDefault="00000000" w:rsidP="002B61DF">
            <w:pPr>
              <w:spacing w:line="360" w:lineRule="auto"/>
              <w:rPr>
                <w:rFonts w:cs="Arial"/>
                <w:szCs w:val="24"/>
              </w:rPr>
            </w:pPr>
            <w:r w:rsidRPr="002B61DF">
              <w:rPr>
                <w:rFonts w:cs="Arial"/>
                <w:szCs w:val="24"/>
              </w:rPr>
              <w:t>3.32%</w:t>
            </w:r>
          </w:p>
        </w:tc>
        <w:tc>
          <w:tcPr>
            <w:tcW w:w="1881" w:type="dxa"/>
            <w:vAlign w:val="center"/>
          </w:tcPr>
          <w:p w14:paraId="62E43AAE" w14:textId="77777777" w:rsidR="00475888" w:rsidRPr="002B61DF" w:rsidRDefault="00000000" w:rsidP="002B61DF">
            <w:pPr>
              <w:spacing w:line="360" w:lineRule="auto"/>
              <w:rPr>
                <w:rFonts w:cs="Arial"/>
                <w:szCs w:val="24"/>
              </w:rPr>
            </w:pPr>
            <w:r w:rsidRPr="002B61DF">
              <w:rPr>
                <w:rFonts w:cs="Arial"/>
                <w:szCs w:val="24"/>
              </w:rPr>
              <w:t>276.70</w:t>
            </w:r>
          </w:p>
        </w:tc>
        <w:tc>
          <w:tcPr>
            <w:tcW w:w="1881" w:type="dxa"/>
            <w:vAlign w:val="center"/>
          </w:tcPr>
          <w:p w14:paraId="68AC0C03" w14:textId="77777777" w:rsidR="00475888" w:rsidRPr="002B61DF" w:rsidRDefault="00000000" w:rsidP="002B61DF">
            <w:pPr>
              <w:spacing w:line="360" w:lineRule="auto"/>
              <w:rPr>
                <w:rFonts w:cs="Arial"/>
                <w:szCs w:val="24"/>
              </w:rPr>
            </w:pPr>
            <w:r w:rsidRPr="002B61DF">
              <w:rPr>
                <w:rFonts w:cs="Arial"/>
                <w:szCs w:val="24"/>
              </w:rPr>
              <w:t>1.23%</w:t>
            </w:r>
          </w:p>
        </w:tc>
      </w:tr>
      <w:tr w:rsidR="00475888" w:rsidRPr="002B61DF" w14:paraId="58D8F82B" w14:textId="77777777">
        <w:trPr>
          <w:jc w:val="center"/>
        </w:trPr>
        <w:tc>
          <w:tcPr>
            <w:tcW w:w="1881" w:type="dxa"/>
            <w:vAlign w:val="center"/>
          </w:tcPr>
          <w:p w14:paraId="1174F62B" w14:textId="77777777" w:rsidR="00475888" w:rsidRPr="002B61DF" w:rsidRDefault="00000000" w:rsidP="002B61DF">
            <w:pPr>
              <w:spacing w:line="360" w:lineRule="auto"/>
              <w:rPr>
                <w:rFonts w:cs="Arial"/>
                <w:szCs w:val="24"/>
              </w:rPr>
            </w:pPr>
            <w:r w:rsidRPr="002B61DF">
              <w:rPr>
                <w:rFonts w:cs="Arial"/>
                <w:szCs w:val="24"/>
              </w:rPr>
              <w:t>Apr 2024</w:t>
            </w:r>
          </w:p>
        </w:tc>
        <w:tc>
          <w:tcPr>
            <w:tcW w:w="1881" w:type="dxa"/>
            <w:vAlign w:val="center"/>
          </w:tcPr>
          <w:p w14:paraId="4F1491EF" w14:textId="77777777" w:rsidR="00475888" w:rsidRPr="002B61DF" w:rsidRDefault="00000000" w:rsidP="002B61DF">
            <w:pPr>
              <w:spacing w:line="360" w:lineRule="auto"/>
              <w:rPr>
                <w:rFonts w:cs="Arial"/>
                <w:szCs w:val="24"/>
              </w:rPr>
            </w:pPr>
            <w:r w:rsidRPr="002B61DF">
              <w:rPr>
                <w:rFonts w:cs="Arial"/>
                <w:szCs w:val="24"/>
              </w:rPr>
              <w:t>25.35</w:t>
            </w:r>
          </w:p>
        </w:tc>
        <w:tc>
          <w:tcPr>
            <w:tcW w:w="1881" w:type="dxa"/>
            <w:vAlign w:val="center"/>
          </w:tcPr>
          <w:p w14:paraId="632F4E25" w14:textId="77777777" w:rsidR="00475888" w:rsidRPr="002B61DF" w:rsidRDefault="00000000" w:rsidP="002B61DF">
            <w:pPr>
              <w:spacing w:line="360" w:lineRule="auto"/>
              <w:rPr>
                <w:rFonts w:cs="Arial"/>
                <w:szCs w:val="24"/>
              </w:rPr>
            </w:pPr>
            <w:r w:rsidRPr="002B61DF">
              <w:rPr>
                <w:rFonts w:cs="Arial"/>
                <w:szCs w:val="24"/>
              </w:rPr>
              <w:t>-4.20%</w:t>
            </w:r>
          </w:p>
        </w:tc>
        <w:tc>
          <w:tcPr>
            <w:tcW w:w="1881" w:type="dxa"/>
            <w:vAlign w:val="center"/>
          </w:tcPr>
          <w:p w14:paraId="28D5D6DB" w14:textId="77777777" w:rsidR="00475888" w:rsidRPr="002B61DF" w:rsidRDefault="00000000" w:rsidP="002B61DF">
            <w:pPr>
              <w:spacing w:line="360" w:lineRule="auto"/>
              <w:rPr>
                <w:rFonts w:cs="Arial"/>
                <w:szCs w:val="24"/>
              </w:rPr>
            </w:pPr>
            <w:r w:rsidRPr="002B61DF">
              <w:rPr>
                <w:rFonts w:cs="Arial"/>
                <w:szCs w:val="24"/>
              </w:rPr>
              <w:t>265.98</w:t>
            </w:r>
          </w:p>
        </w:tc>
        <w:tc>
          <w:tcPr>
            <w:tcW w:w="1881" w:type="dxa"/>
            <w:vAlign w:val="center"/>
          </w:tcPr>
          <w:p w14:paraId="2EA05B3D" w14:textId="77777777" w:rsidR="00475888" w:rsidRPr="002B61DF" w:rsidRDefault="00000000" w:rsidP="002B61DF">
            <w:pPr>
              <w:spacing w:line="360" w:lineRule="auto"/>
              <w:rPr>
                <w:rFonts w:cs="Arial"/>
                <w:szCs w:val="24"/>
              </w:rPr>
            </w:pPr>
            <w:r w:rsidRPr="002B61DF">
              <w:rPr>
                <w:rFonts w:cs="Arial"/>
                <w:szCs w:val="24"/>
              </w:rPr>
              <w:t>-3.87%</w:t>
            </w:r>
          </w:p>
        </w:tc>
      </w:tr>
      <w:tr w:rsidR="00475888" w:rsidRPr="002B61DF" w14:paraId="4C0CA24E" w14:textId="77777777">
        <w:trPr>
          <w:jc w:val="center"/>
        </w:trPr>
        <w:tc>
          <w:tcPr>
            <w:tcW w:w="1881" w:type="dxa"/>
            <w:vAlign w:val="center"/>
          </w:tcPr>
          <w:p w14:paraId="16B56EA1" w14:textId="77777777" w:rsidR="00475888" w:rsidRPr="002B61DF" w:rsidRDefault="00000000" w:rsidP="002B61DF">
            <w:pPr>
              <w:spacing w:line="360" w:lineRule="auto"/>
              <w:rPr>
                <w:rFonts w:cs="Arial"/>
                <w:szCs w:val="24"/>
              </w:rPr>
            </w:pPr>
            <w:r w:rsidRPr="002B61DF">
              <w:rPr>
                <w:rFonts w:cs="Arial"/>
                <w:szCs w:val="24"/>
              </w:rPr>
              <w:t>May 2024</w:t>
            </w:r>
          </w:p>
        </w:tc>
        <w:tc>
          <w:tcPr>
            <w:tcW w:w="1881" w:type="dxa"/>
            <w:vAlign w:val="center"/>
          </w:tcPr>
          <w:p w14:paraId="4961C445" w14:textId="77777777" w:rsidR="00475888" w:rsidRPr="002B61DF" w:rsidRDefault="00000000" w:rsidP="002B61DF">
            <w:pPr>
              <w:spacing w:line="360" w:lineRule="auto"/>
              <w:rPr>
                <w:rFonts w:cs="Arial"/>
                <w:szCs w:val="24"/>
              </w:rPr>
            </w:pPr>
            <w:r w:rsidRPr="002B61DF">
              <w:rPr>
                <w:rFonts w:cs="Arial"/>
                <w:szCs w:val="24"/>
              </w:rPr>
              <w:t>26.18</w:t>
            </w:r>
          </w:p>
        </w:tc>
        <w:tc>
          <w:tcPr>
            <w:tcW w:w="1881" w:type="dxa"/>
            <w:vAlign w:val="center"/>
          </w:tcPr>
          <w:p w14:paraId="46B3643B" w14:textId="77777777" w:rsidR="00475888" w:rsidRPr="002B61DF" w:rsidRDefault="00000000" w:rsidP="002B61DF">
            <w:pPr>
              <w:spacing w:line="360" w:lineRule="auto"/>
              <w:rPr>
                <w:rFonts w:cs="Arial"/>
                <w:szCs w:val="24"/>
              </w:rPr>
            </w:pPr>
            <w:r w:rsidRPr="002B61DF">
              <w:rPr>
                <w:rFonts w:cs="Arial"/>
                <w:szCs w:val="24"/>
              </w:rPr>
              <w:t>3.27%</w:t>
            </w:r>
          </w:p>
        </w:tc>
        <w:tc>
          <w:tcPr>
            <w:tcW w:w="1881" w:type="dxa"/>
            <w:vAlign w:val="center"/>
          </w:tcPr>
          <w:p w14:paraId="6B190B1D" w14:textId="77777777" w:rsidR="00475888" w:rsidRPr="002B61DF" w:rsidRDefault="00000000" w:rsidP="002B61DF">
            <w:pPr>
              <w:spacing w:line="360" w:lineRule="auto"/>
              <w:rPr>
                <w:rFonts w:cs="Arial"/>
                <w:szCs w:val="24"/>
              </w:rPr>
            </w:pPr>
            <w:r w:rsidRPr="002B61DF">
              <w:rPr>
                <w:rFonts w:cs="Arial"/>
                <w:szCs w:val="24"/>
              </w:rPr>
              <w:t>269.18</w:t>
            </w:r>
          </w:p>
        </w:tc>
        <w:tc>
          <w:tcPr>
            <w:tcW w:w="1881" w:type="dxa"/>
            <w:vAlign w:val="center"/>
          </w:tcPr>
          <w:p w14:paraId="3ACC5604" w14:textId="77777777" w:rsidR="00475888" w:rsidRPr="002B61DF" w:rsidRDefault="00000000" w:rsidP="002B61DF">
            <w:pPr>
              <w:spacing w:line="360" w:lineRule="auto"/>
              <w:rPr>
                <w:rFonts w:cs="Arial"/>
                <w:szCs w:val="24"/>
              </w:rPr>
            </w:pPr>
            <w:r w:rsidRPr="002B61DF">
              <w:rPr>
                <w:rFonts w:cs="Arial"/>
                <w:szCs w:val="24"/>
              </w:rPr>
              <w:t>1.20%</w:t>
            </w:r>
          </w:p>
        </w:tc>
      </w:tr>
      <w:tr w:rsidR="00475888" w:rsidRPr="002B61DF" w14:paraId="2295F5F8" w14:textId="77777777">
        <w:trPr>
          <w:jc w:val="center"/>
        </w:trPr>
        <w:tc>
          <w:tcPr>
            <w:tcW w:w="1881" w:type="dxa"/>
            <w:vAlign w:val="center"/>
          </w:tcPr>
          <w:p w14:paraId="1BBB75C9" w14:textId="77777777" w:rsidR="00475888" w:rsidRPr="002B61DF" w:rsidRDefault="00000000" w:rsidP="002B61DF">
            <w:pPr>
              <w:spacing w:line="360" w:lineRule="auto"/>
              <w:rPr>
                <w:rFonts w:cs="Arial"/>
                <w:szCs w:val="24"/>
              </w:rPr>
            </w:pPr>
            <w:r w:rsidRPr="002B61DF">
              <w:rPr>
                <w:rFonts w:cs="Arial"/>
                <w:szCs w:val="24"/>
              </w:rPr>
              <w:t>Jun 2024</w:t>
            </w:r>
          </w:p>
        </w:tc>
        <w:tc>
          <w:tcPr>
            <w:tcW w:w="1881" w:type="dxa"/>
            <w:vAlign w:val="center"/>
          </w:tcPr>
          <w:p w14:paraId="01A265A2" w14:textId="77777777" w:rsidR="00475888" w:rsidRPr="002B61DF" w:rsidRDefault="00000000" w:rsidP="002B61DF">
            <w:pPr>
              <w:spacing w:line="360" w:lineRule="auto"/>
              <w:rPr>
                <w:rFonts w:cs="Arial"/>
                <w:szCs w:val="24"/>
              </w:rPr>
            </w:pPr>
            <w:r w:rsidRPr="002B61DF">
              <w:rPr>
                <w:rFonts w:cs="Arial"/>
                <w:szCs w:val="24"/>
              </w:rPr>
              <w:t>26.17</w:t>
            </w:r>
          </w:p>
        </w:tc>
        <w:tc>
          <w:tcPr>
            <w:tcW w:w="1881" w:type="dxa"/>
            <w:vAlign w:val="center"/>
          </w:tcPr>
          <w:p w14:paraId="4E21A183" w14:textId="77777777" w:rsidR="00475888" w:rsidRPr="002B61DF" w:rsidRDefault="00000000" w:rsidP="002B61DF">
            <w:pPr>
              <w:spacing w:line="360" w:lineRule="auto"/>
              <w:rPr>
                <w:rFonts w:cs="Arial"/>
                <w:szCs w:val="24"/>
              </w:rPr>
            </w:pPr>
            <w:r w:rsidRPr="002B61DF">
              <w:rPr>
                <w:rFonts w:cs="Arial"/>
                <w:szCs w:val="24"/>
              </w:rPr>
              <w:t>-0.04%</w:t>
            </w:r>
          </w:p>
        </w:tc>
        <w:tc>
          <w:tcPr>
            <w:tcW w:w="1881" w:type="dxa"/>
            <w:vAlign w:val="center"/>
          </w:tcPr>
          <w:p w14:paraId="7B3DF821" w14:textId="77777777" w:rsidR="00475888" w:rsidRPr="002B61DF" w:rsidRDefault="00000000" w:rsidP="002B61DF">
            <w:pPr>
              <w:spacing w:line="360" w:lineRule="auto"/>
              <w:rPr>
                <w:rFonts w:cs="Arial"/>
                <w:szCs w:val="24"/>
              </w:rPr>
            </w:pPr>
            <w:r w:rsidRPr="002B61DF">
              <w:rPr>
                <w:rFonts w:cs="Arial"/>
                <w:szCs w:val="24"/>
              </w:rPr>
              <w:t>283.71</w:t>
            </w:r>
          </w:p>
        </w:tc>
        <w:tc>
          <w:tcPr>
            <w:tcW w:w="1881" w:type="dxa"/>
            <w:vAlign w:val="center"/>
          </w:tcPr>
          <w:p w14:paraId="1364F19E" w14:textId="77777777" w:rsidR="00475888" w:rsidRPr="002B61DF" w:rsidRDefault="00000000" w:rsidP="002B61DF">
            <w:pPr>
              <w:spacing w:line="360" w:lineRule="auto"/>
              <w:rPr>
                <w:rFonts w:cs="Arial"/>
                <w:szCs w:val="24"/>
              </w:rPr>
            </w:pPr>
            <w:r w:rsidRPr="002B61DF">
              <w:rPr>
                <w:rFonts w:cs="Arial"/>
                <w:szCs w:val="24"/>
              </w:rPr>
              <w:t>5.40%</w:t>
            </w:r>
          </w:p>
        </w:tc>
      </w:tr>
      <w:tr w:rsidR="00475888" w:rsidRPr="002B61DF" w14:paraId="632AA401" w14:textId="77777777">
        <w:trPr>
          <w:jc w:val="center"/>
        </w:trPr>
        <w:tc>
          <w:tcPr>
            <w:tcW w:w="1881" w:type="dxa"/>
            <w:vAlign w:val="center"/>
          </w:tcPr>
          <w:p w14:paraId="6E09EE14" w14:textId="77777777" w:rsidR="00475888" w:rsidRPr="002B61DF" w:rsidRDefault="00000000" w:rsidP="002B61DF">
            <w:pPr>
              <w:spacing w:line="360" w:lineRule="auto"/>
              <w:rPr>
                <w:rFonts w:cs="Arial"/>
                <w:szCs w:val="24"/>
              </w:rPr>
            </w:pPr>
            <w:r w:rsidRPr="002B61DF">
              <w:rPr>
                <w:rFonts w:cs="Arial"/>
                <w:szCs w:val="24"/>
              </w:rPr>
              <w:t>Jul 2024</w:t>
            </w:r>
          </w:p>
        </w:tc>
        <w:tc>
          <w:tcPr>
            <w:tcW w:w="1881" w:type="dxa"/>
            <w:vAlign w:val="center"/>
          </w:tcPr>
          <w:p w14:paraId="0DFF5DF2" w14:textId="77777777" w:rsidR="00475888" w:rsidRPr="002B61DF" w:rsidRDefault="00000000" w:rsidP="002B61DF">
            <w:pPr>
              <w:spacing w:line="360" w:lineRule="auto"/>
              <w:rPr>
                <w:rFonts w:cs="Arial"/>
                <w:szCs w:val="24"/>
              </w:rPr>
            </w:pPr>
            <w:r w:rsidRPr="002B61DF">
              <w:rPr>
                <w:rFonts w:cs="Arial"/>
                <w:szCs w:val="24"/>
              </w:rPr>
              <w:t>26.92</w:t>
            </w:r>
          </w:p>
        </w:tc>
        <w:tc>
          <w:tcPr>
            <w:tcW w:w="1881" w:type="dxa"/>
            <w:vAlign w:val="center"/>
          </w:tcPr>
          <w:p w14:paraId="18C3B6F4" w14:textId="77777777" w:rsidR="00475888" w:rsidRPr="002B61DF" w:rsidRDefault="00000000" w:rsidP="002B61DF">
            <w:pPr>
              <w:spacing w:line="360" w:lineRule="auto"/>
              <w:rPr>
                <w:rFonts w:cs="Arial"/>
                <w:szCs w:val="24"/>
              </w:rPr>
            </w:pPr>
            <w:r w:rsidRPr="002B61DF">
              <w:rPr>
                <w:rFonts w:cs="Arial"/>
                <w:szCs w:val="24"/>
              </w:rPr>
              <w:t>2.87%</w:t>
            </w:r>
          </w:p>
        </w:tc>
        <w:tc>
          <w:tcPr>
            <w:tcW w:w="1881" w:type="dxa"/>
            <w:vAlign w:val="center"/>
          </w:tcPr>
          <w:p w14:paraId="274E5E4C" w14:textId="77777777" w:rsidR="00475888" w:rsidRPr="002B61DF" w:rsidRDefault="00000000" w:rsidP="002B61DF">
            <w:pPr>
              <w:spacing w:line="360" w:lineRule="auto"/>
              <w:rPr>
                <w:rFonts w:cs="Arial"/>
                <w:szCs w:val="24"/>
              </w:rPr>
            </w:pPr>
            <w:r w:rsidRPr="002B61DF">
              <w:rPr>
                <w:rFonts w:cs="Arial"/>
                <w:szCs w:val="24"/>
              </w:rPr>
              <w:t>297.65</w:t>
            </w:r>
          </w:p>
        </w:tc>
        <w:tc>
          <w:tcPr>
            <w:tcW w:w="1881" w:type="dxa"/>
            <w:vAlign w:val="center"/>
          </w:tcPr>
          <w:p w14:paraId="0484512B" w14:textId="77777777" w:rsidR="00475888" w:rsidRPr="002B61DF" w:rsidRDefault="00000000" w:rsidP="002B61DF">
            <w:pPr>
              <w:spacing w:line="360" w:lineRule="auto"/>
              <w:rPr>
                <w:rFonts w:cs="Arial"/>
                <w:szCs w:val="24"/>
              </w:rPr>
            </w:pPr>
            <w:r w:rsidRPr="002B61DF">
              <w:rPr>
                <w:rFonts w:cs="Arial"/>
                <w:szCs w:val="24"/>
              </w:rPr>
              <w:t>4.91%</w:t>
            </w:r>
          </w:p>
        </w:tc>
      </w:tr>
      <w:tr w:rsidR="00475888" w:rsidRPr="002B61DF" w14:paraId="2D0C019B" w14:textId="77777777">
        <w:trPr>
          <w:jc w:val="center"/>
        </w:trPr>
        <w:tc>
          <w:tcPr>
            <w:tcW w:w="1881" w:type="dxa"/>
            <w:vAlign w:val="center"/>
          </w:tcPr>
          <w:p w14:paraId="75E29BD8" w14:textId="77777777" w:rsidR="00475888" w:rsidRPr="002B61DF" w:rsidRDefault="00000000" w:rsidP="002B61DF">
            <w:pPr>
              <w:spacing w:line="360" w:lineRule="auto"/>
              <w:rPr>
                <w:rFonts w:cs="Arial"/>
                <w:szCs w:val="24"/>
              </w:rPr>
            </w:pPr>
            <w:r w:rsidRPr="002B61DF">
              <w:rPr>
                <w:rFonts w:cs="Arial"/>
                <w:szCs w:val="24"/>
              </w:rPr>
              <w:t>Aug 2024</w:t>
            </w:r>
          </w:p>
        </w:tc>
        <w:tc>
          <w:tcPr>
            <w:tcW w:w="1881" w:type="dxa"/>
            <w:vAlign w:val="center"/>
          </w:tcPr>
          <w:p w14:paraId="11819360" w14:textId="77777777" w:rsidR="00475888" w:rsidRPr="002B61DF" w:rsidRDefault="00000000" w:rsidP="002B61DF">
            <w:pPr>
              <w:spacing w:line="360" w:lineRule="auto"/>
              <w:rPr>
                <w:rFonts w:cs="Arial"/>
                <w:szCs w:val="24"/>
              </w:rPr>
            </w:pPr>
            <w:r w:rsidRPr="002B61DF">
              <w:rPr>
                <w:rFonts w:cs="Arial"/>
                <w:szCs w:val="24"/>
              </w:rPr>
              <w:t>28.17</w:t>
            </w:r>
          </w:p>
        </w:tc>
        <w:tc>
          <w:tcPr>
            <w:tcW w:w="1881" w:type="dxa"/>
            <w:vAlign w:val="center"/>
          </w:tcPr>
          <w:p w14:paraId="32FF7E8D" w14:textId="77777777" w:rsidR="00475888" w:rsidRPr="002B61DF" w:rsidRDefault="00000000" w:rsidP="002B61DF">
            <w:pPr>
              <w:spacing w:line="360" w:lineRule="auto"/>
              <w:rPr>
                <w:rFonts w:cs="Arial"/>
                <w:szCs w:val="24"/>
              </w:rPr>
            </w:pPr>
            <w:r w:rsidRPr="002B61DF">
              <w:rPr>
                <w:rFonts w:cs="Arial"/>
                <w:szCs w:val="24"/>
              </w:rPr>
              <w:t>4.64%</w:t>
            </w:r>
          </w:p>
        </w:tc>
        <w:tc>
          <w:tcPr>
            <w:tcW w:w="1881" w:type="dxa"/>
            <w:vAlign w:val="center"/>
          </w:tcPr>
          <w:p w14:paraId="0EA6B54D" w14:textId="77777777" w:rsidR="00475888" w:rsidRPr="002B61DF" w:rsidRDefault="00000000" w:rsidP="002B61DF">
            <w:pPr>
              <w:spacing w:line="360" w:lineRule="auto"/>
              <w:rPr>
                <w:rFonts w:cs="Arial"/>
                <w:szCs w:val="24"/>
              </w:rPr>
            </w:pPr>
            <w:r w:rsidRPr="002B61DF">
              <w:rPr>
                <w:rFonts w:cs="Arial"/>
                <w:szCs w:val="24"/>
              </w:rPr>
              <w:t>295.19</w:t>
            </w:r>
          </w:p>
        </w:tc>
        <w:tc>
          <w:tcPr>
            <w:tcW w:w="1881" w:type="dxa"/>
            <w:vAlign w:val="center"/>
          </w:tcPr>
          <w:p w14:paraId="2C8608CA" w14:textId="77777777" w:rsidR="00475888" w:rsidRPr="002B61DF" w:rsidRDefault="00000000" w:rsidP="002B61DF">
            <w:pPr>
              <w:spacing w:line="360" w:lineRule="auto"/>
              <w:rPr>
                <w:rFonts w:cs="Arial"/>
                <w:szCs w:val="24"/>
              </w:rPr>
            </w:pPr>
            <w:r w:rsidRPr="002B61DF">
              <w:rPr>
                <w:rFonts w:cs="Arial"/>
                <w:szCs w:val="24"/>
              </w:rPr>
              <w:t>-0.83%</w:t>
            </w:r>
          </w:p>
        </w:tc>
      </w:tr>
      <w:tr w:rsidR="00475888" w:rsidRPr="002B61DF" w14:paraId="7566C13A" w14:textId="77777777">
        <w:trPr>
          <w:jc w:val="center"/>
        </w:trPr>
        <w:tc>
          <w:tcPr>
            <w:tcW w:w="1881" w:type="dxa"/>
            <w:vAlign w:val="center"/>
          </w:tcPr>
          <w:p w14:paraId="40A65114" w14:textId="77777777" w:rsidR="00475888" w:rsidRPr="002B61DF" w:rsidRDefault="00000000" w:rsidP="002B61DF">
            <w:pPr>
              <w:spacing w:line="360" w:lineRule="auto"/>
              <w:rPr>
                <w:rFonts w:cs="Arial"/>
                <w:szCs w:val="24"/>
              </w:rPr>
            </w:pPr>
            <w:r w:rsidRPr="002B61DF">
              <w:rPr>
                <w:rFonts w:cs="Arial"/>
                <w:szCs w:val="24"/>
              </w:rPr>
              <w:t>Sep 2024</w:t>
            </w:r>
          </w:p>
        </w:tc>
        <w:tc>
          <w:tcPr>
            <w:tcW w:w="1881" w:type="dxa"/>
            <w:vAlign w:val="center"/>
          </w:tcPr>
          <w:p w14:paraId="478147D4" w14:textId="77777777" w:rsidR="00475888" w:rsidRPr="002B61DF" w:rsidRDefault="00000000" w:rsidP="002B61DF">
            <w:pPr>
              <w:spacing w:line="360" w:lineRule="auto"/>
              <w:rPr>
                <w:rFonts w:cs="Arial"/>
                <w:szCs w:val="24"/>
              </w:rPr>
            </w:pPr>
            <w:r w:rsidRPr="002B61DF">
              <w:rPr>
                <w:rFonts w:cs="Arial"/>
                <w:szCs w:val="24"/>
              </w:rPr>
              <w:t>28.24</w:t>
            </w:r>
          </w:p>
        </w:tc>
        <w:tc>
          <w:tcPr>
            <w:tcW w:w="1881" w:type="dxa"/>
            <w:vAlign w:val="center"/>
          </w:tcPr>
          <w:p w14:paraId="45AD6882" w14:textId="77777777" w:rsidR="00475888" w:rsidRPr="002B61DF" w:rsidRDefault="00000000" w:rsidP="002B61DF">
            <w:pPr>
              <w:spacing w:line="360" w:lineRule="auto"/>
              <w:rPr>
                <w:rFonts w:cs="Arial"/>
                <w:szCs w:val="24"/>
              </w:rPr>
            </w:pPr>
            <w:r w:rsidRPr="002B61DF">
              <w:rPr>
                <w:rFonts w:cs="Arial"/>
                <w:szCs w:val="24"/>
              </w:rPr>
              <w:t>0.25%</w:t>
            </w:r>
          </w:p>
        </w:tc>
        <w:tc>
          <w:tcPr>
            <w:tcW w:w="1881" w:type="dxa"/>
            <w:vAlign w:val="center"/>
          </w:tcPr>
          <w:p w14:paraId="288F0A8F" w14:textId="77777777" w:rsidR="00475888" w:rsidRPr="002B61DF" w:rsidRDefault="00000000" w:rsidP="002B61DF">
            <w:pPr>
              <w:spacing w:line="360" w:lineRule="auto"/>
              <w:rPr>
                <w:rFonts w:cs="Arial"/>
                <w:szCs w:val="24"/>
              </w:rPr>
            </w:pPr>
            <w:r w:rsidRPr="002B61DF">
              <w:rPr>
                <w:rFonts w:cs="Arial"/>
                <w:szCs w:val="24"/>
              </w:rPr>
              <w:t>277.11</w:t>
            </w:r>
          </w:p>
        </w:tc>
        <w:tc>
          <w:tcPr>
            <w:tcW w:w="1881" w:type="dxa"/>
            <w:vAlign w:val="center"/>
          </w:tcPr>
          <w:p w14:paraId="1294E6CB" w14:textId="77777777" w:rsidR="00475888" w:rsidRPr="002B61DF" w:rsidRDefault="00000000" w:rsidP="002B61DF">
            <w:pPr>
              <w:spacing w:line="360" w:lineRule="auto"/>
              <w:rPr>
                <w:rFonts w:cs="Arial"/>
                <w:szCs w:val="24"/>
              </w:rPr>
            </w:pPr>
            <w:r w:rsidRPr="002B61DF">
              <w:rPr>
                <w:rFonts w:cs="Arial"/>
                <w:szCs w:val="24"/>
              </w:rPr>
              <w:t>-6.12%</w:t>
            </w:r>
          </w:p>
        </w:tc>
      </w:tr>
      <w:tr w:rsidR="00475888" w:rsidRPr="002B61DF" w14:paraId="1DEB7FDB" w14:textId="77777777">
        <w:trPr>
          <w:jc w:val="center"/>
        </w:trPr>
        <w:tc>
          <w:tcPr>
            <w:tcW w:w="1881" w:type="dxa"/>
            <w:vAlign w:val="center"/>
          </w:tcPr>
          <w:p w14:paraId="020FB2DA" w14:textId="77777777" w:rsidR="00475888" w:rsidRPr="002B61DF" w:rsidRDefault="00000000" w:rsidP="002B61DF">
            <w:pPr>
              <w:spacing w:line="360" w:lineRule="auto"/>
              <w:rPr>
                <w:rFonts w:cs="Arial"/>
                <w:szCs w:val="24"/>
              </w:rPr>
            </w:pPr>
            <w:r w:rsidRPr="002B61DF">
              <w:rPr>
                <w:rFonts w:cs="Arial"/>
                <w:szCs w:val="24"/>
              </w:rPr>
              <w:t>Oct 2024</w:t>
            </w:r>
          </w:p>
        </w:tc>
        <w:tc>
          <w:tcPr>
            <w:tcW w:w="1881" w:type="dxa"/>
            <w:vAlign w:val="center"/>
          </w:tcPr>
          <w:p w14:paraId="2F4D1483" w14:textId="77777777" w:rsidR="00475888" w:rsidRPr="002B61DF" w:rsidRDefault="00000000" w:rsidP="002B61DF">
            <w:pPr>
              <w:spacing w:line="360" w:lineRule="auto"/>
              <w:rPr>
                <w:rFonts w:cs="Arial"/>
                <w:szCs w:val="24"/>
              </w:rPr>
            </w:pPr>
            <w:r w:rsidRPr="002B61DF">
              <w:rPr>
                <w:rFonts w:cs="Arial"/>
                <w:szCs w:val="24"/>
              </w:rPr>
              <w:t>28.86</w:t>
            </w:r>
          </w:p>
        </w:tc>
        <w:tc>
          <w:tcPr>
            <w:tcW w:w="1881" w:type="dxa"/>
            <w:vAlign w:val="center"/>
          </w:tcPr>
          <w:p w14:paraId="3B18ABBA" w14:textId="77777777" w:rsidR="00475888" w:rsidRPr="002B61DF" w:rsidRDefault="00000000" w:rsidP="002B61DF">
            <w:pPr>
              <w:spacing w:line="360" w:lineRule="auto"/>
              <w:rPr>
                <w:rFonts w:cs="Arial"/>
                <w:szCs w:val="24"/>
              </w:rPr>
            </w:pPr>
            <w:r w:rsidRPr="002B61DF">
              <w:rPr>
                <w:rFonts w:cs="Arial"/>
                <w:szCs w:val="24"/>
              </w:rPr>
              <w:t>2.20%</w:t>
            </w:r>
          </w:p>
        </w:tc>
        <w:tc>
          <w:tcPr>
            <w:tcW w:w="1881" w:type="dxa"/>
            <w:vAlign w:val="center"/>
          </w:tcPr>
          <w:p w14:paraId="3C80C9A6" w14:textId="77777777" w:rsidR="00475888" w:rsidRPr="002B61DF" w:rsidRDefault="00000000" w:rsidP="002B61DF">
            <w:pPr>
              <w:spacing w:line="360" w:lineRule="auto"/>
              <w:rPr>
                <w:rFonts w:cs="Arial"/>
                <w:szCs w:val="24"/>
              </w:rPr>
            </w:pPr>
            <w:r w:rsidRPr="002B61DF">
              <w:rPr>
                <w:rFonts w:cs="Arial"/>
                <w:szCs w:val="24"/>
              </w:rPr>
              <w:t>277.75</w:t>
            </w:r>
          </w:p>
        </w:tc>
        <w:tc>
          <w:tcPr>
            <w:tcW w:w="1881" w:type="dxa"/>
            <w:vAlign w:val="center"/>
          </w:tcPr>
          <w:p w14:paraId="33C4BF4B" w14:textId="77777777" w:rsidR="00475888" w:rsidRPr="002B61DF" w:rsidRDefault="00000000" w:rsidP="002B61DF">
            <w:pPr>
              <w:spacing w:line="360" w:lineRule="auto"/>
              <w:rPr>
                <w:rFonts w:cs="Arial"/>
                <w:szCs w:val="24"/>
              </w:rPr>
            </w:pPr>
            <w:r w:rsidRPr="002B61DF">
              <w:rPr>
                <w:rFonts w:cs="Arial"/>
                <w:szCs w:val="24"/>
              </w:rPr>
              <w:t>0.23%</w:t>
            </w:r>
          </w:p>
        </w:tc>
      </w:tr>
      <w:tr w:rsidR="00475888" w:rsidRPr="002B61DF" w14:paraId="65AFA049" w14:textId="77777777">
        <w:trPr>
          <w:jc w:val="center"/>
        </w:trPr>
        <w:tc>
          <w:tcPr>
            <w:tcW w:w="1881" w:type="dxa"/>
            <w:vAlign w:val="center"/>
          </w:tcPr>
          <w:p w14:paraId="6E94C5B4" w14:textId="77777777" w:rsidR="00475888" w:rsidRPr="002B61DF" w:rsidRDefault="00000000" w:rsidP="002B61DF">
            <w:pPr>
              <w:spacing w:line="360" w:lineRule="auto"/>
              <w:rPr>
                <w:rFonts w:cs="Arial"/>
                <w:szCs w:val="24"/>
              </w:rPr>
            </w:pPr>
            <w:r w:rsidRPr="002B61DF">
              <w:rPr>
                <w:rFonts w:cs="Arial"/>
                <w:szCs w:val="24"/>
              </w:rPr>
              <w:t>Nov 2024</w:t>
            </w:r>
          </w:p>
        </w:tc>
        <w:tc>
          <w:tcPr>
            <w:tcW w:w="1881" w:type="dxa"/>
            <w:vAlign w:val="center"/>
          </w:tcPr>
          <w:p w14:paraId="5C717FBA" w14:textId="77777777" w:rsidR="00475888" w:rsidRPr="002B61DF" w:rsidRDefault="00000000" w:rsidP="002B61DF">
            <w:pPr>
              <w:spacing w:line="360" w:lineRule="auto"/>
              <w:rPr>
                <w:rFonts w:cs="Arial"/>
                <w:szCs w:val="24"/>
              </w:rPr>
            </w:pPr>
            <w:r w:rsidRPr="002B61DF">
              <w:rPr>
                <w:rFonts w:cs="Arial"/>
                <w:szCs w:val="24"/>
              </w:rPr>
              <w:t>29.64</w:t>
            </w:r>
          </w:p>
        </w:tc>
        <w:tc>
          <w:tcPr>
            <w:tcW w:w="1881" w:type="dxa"/>
            <w:vAlign w:val="center"/>
          </w:tcPr>
          <w:p w14:paraId="093DEDA6" w14:textId="77777777" w:rsidR="00475888" w:rsidRPr="002B61DF" w:rsidRDefault="00000000" w:rsidP="002B61DF">
            <w:pPr>
              <w:spacing w:line="360" w:lineRule="auto"/>
              <w:rPr>
                <w:rFonts w:cs="Arial"/>
                <w:szCs w:val="24"/>
              </w:rPr>
            </w:pPr>
            <w:r w:rsidRPr="002B61DF">
              <w:rPr>
                <w:rFonts w:cs="Arial"/>
                <w:szCs w:val="24"/>
              </w:rPr>
              <w:t>2.70%</w:t>
            </w:r>
          </w:p>
        </w:tc>
        <w:tc>
          <w:tcPr>
            <w:tcW w:w="1881" w:type="dxa"/>
            <w:vAlign w:val="center"/>
          </w:tcPr>
          <w:p w14:paraId="27D29C13" w14:textId="77777777" w:rsidR="00475888" w:rsidRPr="002B61DF" w:rsidRDefault="00000000" w:rsidP="002B61DF">
            <w:pPr>
              <w:spacing w:line="360" w:lineRule="auto"/>
              <w:rPr>
                <w:rFonts w:cs="Arial"/>
                <w:szCs w:val="24"/>
              </w:rPr>
            </w:pPr>
            <w:r w:rsidRPr="002B61DF">
              <w:rPr>
                <w:rFonts w:cs="Arial"/>
                <w:szCs w:val="24"/>
              </w:rPr>
              <w:t>273.18</w:t>
            </w:r>
          </w:p>
        </w:tc>
        <w:tc>
          <w:tcPr>
            <w:tcW w:w="1881" w:type="dxa"/>
            <w:vAlign w:val="center"/>
          </w:tcPr>
          <w:p w14:paraId="55BA432B" w14:textId="77777777" w:rsidR="00475888" w:rsidRPr="002B61DF" w:rsidRDefault="00000000" w:rsidP="002B61DF">
            <w:pPr>
              <w:spacing w:line="360" w:lineRule="auto"/>
              <w:rPr>
                <w:rFonts w:cs="Arial"/>
                <w:szCs w:val="24"/>
              </w:rPr>
            </w:pPr>
            <w:r w:rsidRPr="002B61DF">
              <w:rPr>
                <w:rFonts w:cs="Arial"/>
                <w:szCs w:val="24"/>
              </w:rPr>
              <w:t>-1.65%</w:t>
            </w:r>
          </w:p>
        </w:tc>
      </w:tr>
      <w:tr w:rsidR="00475888" w:rsidRPr="002B61DF" w14:paraId="4BEE014A" w14:textId="77777777">
        <w:trPr>
          <w:jc w:val="center"/>
        </w:trPr>
        <w:tc>
          <w:tcPr>
            <w:tcW w:w="1881" w:type="dxa"/>
            <w:vAlign w:val="center"/>
          </w:tcPr>
          <w:p w14:paraId="1DA4FE4B" w14:textId="77777777" w:rsidR="00475888" w:rsidRPr="002B61DF" w:rsidRDefault="00000000" w:rsidP="002B61DF">
            <w:pPr>
              <w:spacing w:line="360" w:lineRule="auto"/>
              <w:rPr>
                <w:rFonts w:cs="Arial"/>
                <w:szCs w:val="24"/>
              </w:rPr>
            </w:pPr>
            <w:r w:rsidRPr="002B61DF">
              <w:rPr>
                <w:rFonts w:cs="Arial"/>
                <w:szCs w:val="24"/>
              </w:rPr>
              <w:t>Dec 2024</w:t>
            </w:r>
          </w:p>
        </w:tc>
        <w:tc>
          <w:tcPr>
            <w:tcW w:w="1881" w:type="dxa"/>
            <w:vAlign w:val="center"/>
          </w:tcPr>
          <w:p w14:paraId="5DBC3AB1" w14:textId="77777777" w:rsidR="00475888" w:rsidRPr="002B61DF" w:rsidRDefault="00000000" w:rsidP="002B61DF">
            <w:pPr>
              <w:spacing w:line="360" w:lineRule="auto"/>
              <w:rPr>
                <w:rFonts w:cs="Arial"/>
                <w:szCs w:val="24"/>
              </w:rPr>
            </w:pPr>
            <w:r w:rsidRPr="002B61DF">
              <w:rPr>
                <w:rFonts w:cs="Arial"/>
                <w:szCs w:val="24"/>
              </w:rPr>
              <w:t>27.14</w:t>
            </w:r>
          </w:p>
        </w:tc>
        <w:tc>
          <w:tcPr>
            <w:tcW w:w="1881" w:type="dxa"/>
            <w:vAlign w:val="center"/>
          </w:tcPr>
          <w:p w14:paraId="19248207" w14:textId="77777777" w:rsidR="00475888" w:rsidRPr="002B61DF" w:rsidRDefault="00000000" w:rsidP="002B61DF">
            <w:pPr>
              <w:spacing w:line="360" w:lineRule="auto"/>
              <w:rPr>
                <w:rFonts w:cs="Arial"/>
                <w:szCs w:val="24"/>
              </w:rPr>
            </w:pPr>
            <w:r w:rsidRPr="002B61DF">
              <w:rPr>
                <w:rFonts w:cs="Arial"/>
                <w:szCs w:val="24"/>
              </w:rPr>
              <w:t>-8.43%</w:t>
            </w:r>
          </w:p>
        </w:tc>
        <w:tc>
          <w:tcPr>
            <w:tcW w:w="1881" w:type="dxa"/>
            <w:vAlign w:val="center"/>
          </w:tcPr>
          <w:p w14:paraId="289D0556" w14:textId="77777777" w:rsidR="00475888" w:rsidRPr="002B61DF" w:rsidRDefault="00000000" w:rsidP="002B61DF">
            <w:pPr>
              <w:spacing w:line="360" w:lineRule="auto"/>
              <w:rPr>
                <w:rFonts w:cs="Arial"/>
                <w:szCs w:val="24"/>
              </w:rPr>
            </w:pPr>
            <w:r w:rsidRPr="002B61DF">
              <w:rPr>
                <w:rFonts w:cs="Arial"/>
                <w:szCs w:val="24"/>
              </w:rPr>
              <w:t>272.56</w:t>
            </w:r>
          </w:p>
        </w:tc>
        <w:tc>
          <w:tcPr>
            <w:tcW w:w="1881" w:type="dxa"/>
            <w:vAlign w:val="center"/>
          </w:tcPr>
          <w:p w14:paraId="2AE26FF6" w14:textId="77777777" w:rsidR="00475888" w:rsidRPr="002B61DF" w:rsidRDefault="00000000" w:rsidP="002B61DF">
            <w:pPr>
              <w:spacing w:line="360" w:lineRule="auto"/>
              <w:rPr>
                <w:rFonts w:cs="Arial"/>
                <w:szCs w:val="24"/>
              </w:rPr>
            </w:pPr>
            <w:r w:rsidRPr="002B61DF">
              <w:rPr>
                <w:rFonts w:cs="Arial"/>
                <w:szCs w:val="24"/>
              </w:rPr>
              <w:t>-0.23%</w:t>
            </w:r>
          </w:p>
        </w:tc>
      </w:tr>
      <w:tr w:rsidR="00475888" w:rsidRPr="002B61DF" w14:paraId="5140C50A" w14:textId="77777777">
        <w:trPr>
          <w:jc w:val="center"/>
        </w:trPr>
        <w:tc>
          <w:tcPr>
            <w:tcW w:w="1881" w:type="dxa"/>
            <w:vAlign w:val="center"/>
          </w:tcPr>
          <w:p w14:paraId="04B45452" w14:textId="77777777" w:rsidR="00475888" w:rsidRPr="002B61DF" w:rsidRDefault="00000000" w:rsidP="002B61DF">
            <w:pPr>
              <w:spacing w:line="360" w:lineRule="auto"/>
              <w:rPr>
                <w:rFonts w:cs="Arial"/>
                <w:szCs w:val="24"/>
              </w:rPr>
            </w:pPr>
            <w:r w:rsidRPr="002B61DF">
              <w:rPr>
                <w:rFonts w:cs="Arial"/>
                <w:szCs w:val="24"/>
              </w:rPr>
              <w:t>Jan 2025</w:t>
            </w:r>
          </w:p>
        </w:tc>
        <w:tc>
          <w:tcPr>
            <w:tcW w:w="1881" w:type="dxa"/>
            <w:vAlign w:val="center"/>
          </w:tcPr>
          <w:p w14:paraId="15137880" w14:textId="77777777" w:rsidR="00475888" w:rsidRPr="002B61DF" w:rsidRDefault="00000000" w:rsidP="002B61DF">
            <w:pPr>
              <w:spacing w:line="360" w:lineRule="auto"/>
              <w:rPr>
                <w:rFonts w:cs="Arial"/>
                <w:szCs w:val="24"/>
              </w:rPr>
            </w:pPr>
            <w:r w:rsidRPr="002B61DF">
              <w:rPr>
                <w:rFonts w:cs="Arial"/>
                <w:szCs w:val="24"/>
              </w:rPr>
              <w:t>29.11</w:t>
            </w:r>
          </w:p>
        </w:tc>
        <w:tc>
          <w:tcPr>
            <w:tcW w:w="1881" w:type="dxa"/>
            <w:vAlign w:val="center"/>
          </w:tcPr>
          <w:p w14:paraId="27028E82" w14:textId="77777777" w:rsidR="00475888" w:rsidRPr="002B61DF" w:rsidRDefault="00000000" w:rsidP="002B61DF">
            <w:pPr>
              <w:spacing w:line="360" w:lineRule="auto"/>
              <w:rPr>
                <w:rFonts w:cs="Arial"/>
                <w:szCs w:val="24"/>
              </w:rPr>
            </w:pPr>
            <w:r w:rsidRPr="002B61DF">
              <w:rPr>
                <w:rFonts w:cs="Arial"/>
                <w:szCs w:val="24"/>
              </w:rPr>
              <w:t>7.26%</w:t>
            </w:r>
          </w:p>
        </w:tc>
        <w:tc>
          <w:tcPr>
            <w:tcW w:w="1881" w:type="dxa"/>
            <w:vAlign w:val="center"/>
          </w:tcPr>
          <w:p w14:paraId="2821DA0F" w14:textId="77777777" w:rsidR="00475888" w:rsidRPr="002B61DF" w:rsidRDefault="00000000" w:rsidP="002B61DF">
            <w:pPr>
              <w:spacing w:line="360" w:lineRule="auto"/>
              <w:rPr>
                <w:rFonts w:cs="Arial"/>
                <w:szCs w:val="24"/>
              </w:rPr>
            </w:pPr>
            <w:r w:rsidRPr="002B61DF">
              <w:rPr>
                <w:rFonts w:cs="Arial"/>
                <w:szCs w:val="24"/>
              </w:rPr>
              <w:t>271.44</w:t>
            </w:r>
          </w:p>
        </w:tc>
        <w:tc>
          <w:tcPr>
            <w:tcW w:w="1881" w:type="dxa"/>
            <w:vAlign w:val="center"/>
          </w:tcPr>
          <w:p w14:paraId="35B73A35" w14:textId="77777777" w:rsidR="00475888" w:rsidRPr="002B61DF" w:rsidRDefault="00000000" w:rsidP="002B61DF">
            <w:pPr>
              <w:spacing w:line="360" w:lineRule="auto"/>
              <w:rPr>
                <w:rFonts w:cs="Arial"/>
                <w:szCs w:val="24"/>
              </w:rPr>
            </w:pPr>
            <w:r w:rsidRPr="002B61DF">
              <w:rPr>
                <w:rFonts w:cs="Arial"/>
                <w:szCs w:val="24"/>
              </w:rPr>
              <w:t>-0.41%</w:t>
            </w:r>
          </w:p>
        </w:tc>
      </w:tr>
      <w:tr w:rsidR="00475888" w:rsidRPr="002B61DF" w14:paraId="773F2E01" w14:textId="77777777">
        <w:trPr>
          <w:jc w:val="center"/>
        </w:trPr>
        <w:tc>
          <w:tcPr>
            <w:tcW w:w="1881" w:type="dxa"/>
            <w:vAlign w:val="center"/>
          </w:tcPr>
          <w:p w14:paraId="3CD3FCE8" w14:textId="77777777" w:rsidR="00475888" w:rsidRPr="002B61DF" w:rsidRDefault="00000000" w:rsidP="002B61DF">
            <w:pPr>
              <w:spacing w:line="360" w:lineRule="auto"/>
              <w:rPr>
                <w:rFonts w:cs="Arial"/>
                <w:szCs w:val="24"/>
              </w:rPr>
            </w:pPr>
            <w:r w:rsidRPr="002B61DF">
              <w:rPr>
                <w:rFonts w:cs="Arial"/>
                <w:szCs w:val="24"/>
              </w:rPr>
              <w:t>Feb 2025</w:t>
            </w:r>
          </w:p>
        </w:tc>
        <w:tc>
          <w:tcPr>
            <w:tcW w:w="1881" w:type="dxa"/>
            <w:vAlign w:val="center"/>
          </w:tcPr>
          <w:p w14:paraId="2B9A15D1" w14:textId="77777777" w:rsidR="00475888" w:rsidRPr="002B61DF" w:rsidRDefault="00000000" w:rsidP="002B61DF">
            <w:pPr>
              <w:spacing w:line="360" w:lineRule="auto"/>
              <w:rPr>
                <w:rFonts w:cs="Arial"/>
                <w:szCs w:val="24"/>
              </w:rPr>
            </w:pPr>
            <w:r w:rsidRPr="002B61DF">
              <w:rPr>
                <w:rFonts w:cs="Arial"/>
                <w:szCs w:val="24"/>
              </w:rPr>
              <w:t>28.32</w:t>
            </w:r>
          </w:p>
        </w:tc>
        <w:tc>
          <w:tcPr>
            <w:tcW w:w="1881" w:type="dxa"/>
            <w:vAlign w:val="center"/>
          </w:tcPr>
          <w:p w14:paraId="5143BBFB" w14:textId="77777777" w:rsidR="00475888" w:rsidRPr="002B61DF" w:rsidRDefault="00000000" w:rsidP="002B61DF">
            <w:pPr>
              <w:spacing w:line="360" w:lineRule="auto"/>
              <w:rPr>
                <w:rFonts w:cs="Arial"/>
                <w:szCs w:val="24"/>
              </w:rPr>
            </w:pPr>
            <w:r w:rsidRPr="002B61DF">
              <w:rPr>
                <w:rFonts w:cs="Arial"/>
                <w:szCs w:val="24"/>
              </w:rPr>
              <w:t>-2.71%</w:t>
            </w:r>
          </w:p>
        </w:tc>
        <w:tc>
          <w:tcPr>
            <w:tcW w:w="1881" w:type="dxa"/>
            <w:vAlign w:val="center"/>
          </w:tcPr>
          <w:p w14:paraId="2E8F69D8" w14:textId="77777777" w:rsidR="00475888" w:rsidRPr="002B61DF" w:rsidRDefault="00000000" w:rsidP="002B61DF">
            <w:pPr>
              <w:spacing w:line="360" w:lineRule="auto"/>
              <w:rPr>
                <w:rFonts w:cs="Arial"/>
                <w:szCs w:val="24"/>
              </w:rPr>
            </w:pPr>
            <w:r w:rsidRPr="002B61DF">
              <w:rPr>
                <w:rFonts w:cs="Arial"/>
                <w:szCs w:val="24"/>
              </w:rPr>
              <w:t>252.22</w:t>
            </w:r>
          </w:p>
        </w:tc>
        <w:tc>
          <w:tcPr>
            <w:tcW w:w="1881" w:type="dxa"/>
            <w:vAlign w:val="center"/>
          </w:tcPr>
          <w:p w14:paraId="4EDC5F41" w14:textId="77777777" w:rsidR="00475888" w:rsidRPr="002B61DF" w:rsidRDefault="00000000" w:rsidP="002B61DF">
            <w:pPr>
              <w:spacing w:line="360" w:lineRule="auto"/>
              <w:rPr>
                <w:rFonts w:cs="Arial"/>
                <w:szCs w:val="24"/>
              </w:rPr>
            </w:pPr>
            <w:r w:rsidRPr="002B61DF">
              <w:rPr>
                <w:rFonts w:cs="Arial"/>
                <w:szCs w:val="24"/>
              </w:rPr>
              <w:t>-7.08%</w:t>
            </w:r>
          </w:p>
        </w:tc>
      </w:tr>
      <w:tr w:rsidR="00475888" w:rsidRPr="002B61DF" w14:paraId="47879D41" w14:textId="77777777">
        <w:trPr>
          <w:jc w:val="center"/>
        </w:trPr>
        <w:tc>
          <w:tcPr>
            <w:tcW w:w="1881" w:type="dxa"/>
            <w:vAlign w:val="center"/>
          </w:tcPr>
          <w:p w14:paraId="4DD4E40F" w14:textId="77777777" w:rsidR="00475888" w:rsidRPr="002B61DF" w:rsidRDefault="00000000" w:rsidP="002B61DF">
            <w:pPr>
              <w:spacing w:line="360" w:lineRule="auto"/>
              <w:rPr>
                <w:rFonts w:cs="Arial"/>
                <w:szCs w:val="24"/>
              </w:rPr>
            </w:pPr>
            <w:r w:rsidRPr="002B61DF">
              <w:rPr>
                <w:rFonts w:cs="Arial"/>
                <w:szCs w:val="24"/>
              </w:rPr>
              <w:t>Mar 2025</w:t>
            </w:r>
          </w:p>
        </w:tc>
        <w:tc>
          <w:tcPr>
            <w:tcW w:w="1881" w:type="dxa"/>
            <w:vAlign w:val="center"/>
          </w:tcPr>
          <w:p w14:paraId="7B3DEB7D" w14:textId="77777777" w:rsidR="00475888" w:rsidRPr="002B61DF" w:rsidRDefault="00000000" w:rsidP="002B61DF">
            <w:pPr>
              <w:spacing w:line="360" w:lineRule="auto"/>
              <w:rPr>
                <w:rFonts w:cs="Arial"/>
                <w:szCs w:val="24"/>
              </w:rPr>
            </w:pPr>
            <w:r w:rsidRPr="002B61DF">
              <w:rPr>
                <w:rFonts w:cs="Arial"/>
                <w:szCs w:val="24"/>
              </w:rPr>
              <w:t>27.66</w:t>
            </w:r>
          </w:p>
        </w:tc>
        <w:tc>
          <w:tcPr>
            <w:tcW w:w="1881" w:type="dxa"/>
            <w:vAlign w:val="center"/>
          </w:tcPr>
          <w:p w14:paraId="118004A9" w14:textId="77777777" w:rsidR="00475888" w:rsidRPr="002B61DF" w:rsidRDefault="00000000" w:rsidP="002B61DF">
            <w:pPr>
              <w:spacing w:line="360" w:lineRule="auto"/>
              <w:rPr>
                <w:rFonts w:cs="Arial"/>
                <w:szCs w:val="24"/>
              </w:rPr>
            </w:pPr>
            <w:r w:rsidRPr="002B61DF">
              <w:rPr>
                <w:rFonts w:cs="Arial"/>
                <w:szCs w:val="24"/>
              </w:rPr>
              <w:t>-2.33%</w:t>
            </w:r>
          </w:p>
        </w:tc>
        <w:tc>
          <w:tcPr>
            <w:tcW w:w="1881" w:type="dxa"/>
            <w:vAlign w:val="center"/>
          </w:tcPr>
          <w:p w14:paraId="773F9099" w14:textId="77777777" w:rsidR="00475888" w:rsidRPr="002B61DF" w:rsidRDefault="00000000" w:rsidP="002B61DF">
            <w:pPr>
              <w:spacing w:line="360" w:lineRule="auto"/>
              <w:rPr>
                <w:rFonts w:cs="Arial"/>
                <w:szCs w:val="24"/>
              </w:rPr>
            </w:pPr>
            <w:r w:rsidRPr="002B61DF">
              <w:rPr>
                <w:rFonts w:cs="Arial"/>
                <w:szCs w:val="24"/>
              </w:rPr>
              <w:t>243.23</w:t>
            </w:r>
          </w:p>
        </w:tc>
        <w:tc>
          <w:tcPr>
            <w:tcW w:w="1881" w:type="dxa"/>
            <w:vAlign w:val="center"/>
          </w:tcPr>
          <w:p w14:paraId="5C9B292D" w14:textId="77777777" w:rsidR="00475888" w:rsidRPr="002B61DF" w:rsidRDefault="00000000" w:rsidP="002B61DF">
            <w:pPr>
              <w:spacing w:line="360" w:lineRule="auto"/>
              <w:rPr>
                <w:rFonts w:cs="Arial"/>
                <w:szCs w:val="24"/>
              </w:rPr>
            </w:pPr>
            <w:r w:rsidRPr="002B61DF">
              <w:rPr>
                <w:rFonts w:cs="Arial"/>
                <w:szCs w:val="24"/>
              </w:rPr>
              <w:t>-3.56%</w:t>
            </w:r>
          </w:p>
        </w:tc>
      </w:tr>
      <w:tr w:rsidR="00475888" w:rsidRPr="002B61DF" w14:paraId="4E66840A" w14:textId="77777777">
        <w:trPr>
          <w:jc w:val="center"/>
        </w:trPr>
        <w:tc>
          <w:tcPr>
            <w:tcW w:w="1881" w:type="dxa"/>
            <w:vAlign w:val="center"/>
          </w:tcPr>
          <w:p w14:paraId="38A8B4C2" w14:textId="77777777" w:rsidR="00475888" w:rsidRPr="002B61DF" w:rsidRDefault="00000000" w:rsidP="002B61DF">
            <w:pPr>
              <w:spacing w:line="360" w:lineRule="auto"/>
              <w:rPr>
                <w:rFonts w:cs="Arial"/>
                <w:szCs w:val="24"/>
              </w:rPr>
            </w:pPr>
            <w:r w:rsidRPr="002B61DF">
              <w:rPr>
                <w:rFonts w:cs="Arial"/>
                <w:szCs w:val="24"/>
              </w:rPr>
              <w:t>Apr 2025</w:t>
            </w:r>
          </w:p>
        </w:tc>
        <w:tc>
          <w:tcPr>
            <w:tcW w:w="1881" w:type="dxa"/>
            <w:vAlign w:val="center"/>
          </w:tcPr>
          <w:p w14:paraId="3B2B50C4" w14:textId="77777777" w:rsidR="00475888" w:rsidRPr="002B61DF" w:rsidRDefault="00000000" w:rsidP="002B61DF">
            <w:pPr>
              <w:spacing w:line="360" w:lineRule="auto"/>
              <w:rPr>
                <w:rFonts w:cs="Arial"/>
                <w:szCs w:val="24"/>
              </w:rPr>
            </w:pPr>
            <w:r w:rsidRPr="002B61DF">
              <w:rPr>
                <w:rFonts w:cs="Arial"/>
                <w:szCs w:val="24"/>
              </w:rPr>
              <w:t>28.39</w:t>
            </w:r>
          </w:p>
        </w:tc>
        <w:tc>
          <w:tcPr>
            <w:tcW w:w="1881" w:type="dxa"/>
            <w:vAlign w:val="center"/>
          </w:tcPr>
          <w:p w14:paraId="07C64453" w14:textId="77777777" w:rsidR="00475888" w:rsidRPr="002B61DF" w:rsidRDefault="00000000" w:rsidP="002B61DF">
            <w:pPr>
              <w:spacing w:line="360" w:lineRule="auto"/>
              <w:rPr>
                <w:rFonts w:cs="Arial"/>
                <w:szCs w:val="24"/>
              </w:rPr>
            </w:pPr>
            <w:r w:rsidRPr="002B61DF">
              <w:rPr>
                <w:rFonts w:cs="Arial"/>
                <w:szCs w:val="24"/>
              </w:rPr>
              <w:t>2.64%</w:t>
            </w:r>
          </w:p>
        </w:tc>
        <w:tc>
          <w:tcPr>
            <w:tcW w:w="1881" w:type="dxa"/>
            <w:vAlign w:val="center"/>
          </w:tcPr>
          <w:p w14:paraId="5C37E4D0" w14:textId="77777777" w:rsidR="00475888" w:rsidRPr="002B61DF" w:rsidRDefault="00000000" w:rsidP="002B61DF">
            <w:pPr>
              <w:spacing w:line="360" w:lineRule="auto"/>
              <w:rPr>
                <w:rFonts w:cs="Arial"/>
                <w:szCs w:val="24"/>
              </w:rPr>
            </w:pPr>
            <w:r w:rsidRPr="002B61DF">
              <w:rPr>
                <w:rFonts w:cs="Arial"/>
                <w:szCs w:val="24"/>
              </w:rPr>
              <w:t>245.04</w:t>
            </w:r>
          </w:p>
        </w:tc>
        <w:tc>
          <w:tcPr>
            <w:tcW w:w="1881" w:type="dxa"/>
            <w:vAlign w:val="center"/>
          </w:tcPr>
          <w:p w14:paraId="6751F666" w14:textId="77777777" w:rsidR="00475888" w:rsidRPr="002B61DF" w:rsidRDefault="00000000" w:rsidP="002B61DF">
            <w:pPr>
              <w:spacing w:line="360" w:lineRule="auto"/>
              <w:rPr>
                <w:rFonts w:cs="Arial"/>
                <w:szCs w:val="24"/>
              </w:rPr>
            </w:pPr>
            <w:r w:rsidRPr="002B61DF">
              <w:rPr>
                <w:rFonts w:cs="Arial"/>
                <w:szCs w:val="24"/>
              </w:rPr>
              <w:t>0.74%</w:t>
            </w:r>
          </w:p>
        </w:tc>
      </w:tr>
      <w:tr w:rsidR="00475888" w:rsidRPr="002B61DF" w14:paraId="40F3150B" w14:textId="77777777">
        <w:trPr>
          <w:jc w:val="center"/>
        </w:trPr>
        <w:tc>
          <w:tcPr>
            <w:tcW w:w="1881" w:type="dxa"/>
            <w:vAlign w:val="center"/>
          </w:tcPr>
          <w:p w14:paraId="4DE45D6E" w14:textId="77777777" w:rsidR="00475888" w:rsidRPr="002B61DF" w:rsidRDefault="00000000" w:rsidP="002B61DF">
            <w:pPr>
              <w:spacing w:line="360" w:lineRule="auto"/>
              <w:rPr>
                <w:rFonts w:cs="Arial"/>
                <w:szCs w:val="24"/>
              </w:rPr>
            </w:pPr>
            <w:r w:rsidRPr="002B61DF">
              <w:rPr>
                <w:rFonts w:cs="Arial"/>
                <w:szCs w:val="24"/>
              </w:rPr>
              <w:t>May 2025</w:t>
            </w:r>
          </w:p>
        </w:tc>
        <w:tc>
          <w:tcPr>
            <w:tcW w:w="1881" w:type="dxa"/>
            <w:vAlign w:val="center"/>
          </w:tcPr>
          <w:p w14:paraId="4CE13115" w14:textId="77777777" w:rsidR="00475888" w:rsidRPr="002B61DF" w:rsidRDefault="00000000" w:rsidP="002B61DF">
            <w:pPr>
              <w:spacing w:line="360" w:lineRule="auto"/>
              <w:rPr>
                <w:rFonts w:cs="Arial"/>
                <w:szCs w:val="24"/>
              </w:rPr>
            </w:pPr>
            <w:r w:rsidRPr="002B61DF">
              <w:rPr>
                <w:rFonts w:cs="Arial"/>
                <w:szCs w:val="24"/>
              </w:rPr>
              <w:t>28.42</w:t>
            </w:r>
          </w:p>
        </w:tc>
        <w:tc>
          <w:tcPr>
            <w:tcW w:w="1881" w:type="dxa"/>
            <w:vAlign w:val="center"/>
          </w:tcPr>
          <w:p w14:paraId="7624D096" w14:textId="77777777" w:rsidR="00475888" w:rsidRPr="002B61DF" w:rsidRDefault="00000000" w:rsidP="002B61DF">
            <w:pPr>
              <w:spacing w:line="360" w:lineRule="auto"/>
              <w:rPr>
                <w:rFonts w:cs="Arial"/>
                <w:szCs w:val="24"/>
              </w:rPr>
            </w:pPr>
            <w:r w:rsidRPr="002B61DF">
              <w:rPr>
                <w:rFonts w:cs="Arial"/>
                <w:szCs w:val="24"/>
              </w:rPr>
              <w:t>0.11%</w:t>
            </w:r>
          </w:p>
        </w:tc>
        <w:tc>
          <w:tcPr>
            <w:tcW w:w="1881" w:type="dxa"/>
            <w:vAlign w:val="center"/>
          </w:tcPr>
          <w:p w14:paraId="7D630226" w14:textId="77777777" w:rsidR="00475888" w:rsidRPr="002B61DF" w:rsidRDefault="00000000" w:rsidP="002B61DF">
            <w:pPr>
              <w:spacing w:line="360" w:lineRule="auto"/>
              <w:rPr>
                <w:rFonts w:cs="Arial"/>
                <w:szCs w:val="24"/>
              </w:rPr>
            </w:pPr>
            <w:r w:rsidRPr="002B61DF">
              <w:rPr>
                <w:rFonts w:cs="Arial"/>
                <w:szCs w:val="24"/>
              </w:rPr>
              <w:t>241.00</w:t>
            </w:r>
          </w:p>
        </w:tc>
        <w:tc>
          <w:tcPr>
            <w:tcW w:w="1881" w:type="dxa"/>
            <w:vAlign w:val="center"/>
          </w:tcPr>
          <w:p w14:paraId="5A566F27" w14:textId="77777777" w:rsidR="00475888" w:rsidRPr="002B61DF" w:rsidRDefault="00000000" w:rsidP="002B61DF">
            <w:pPr>
              <w:spacing w:line="360" w:lineRule="auto"/>
              <w:rPr>
                <w:rFonts w:cs="Arial"/>
                <w:szCs w:val="24"/>
              </w:rPr>
            </w:pPr>
            <w:r w:rsidRPr="002B61DF">
              <w:rPr>
                <w:rFonts w:cs="Arial"/>
                <w:szCs w:val="24"/>
              </w:rPr>
              <w:t>-1.65%</w:t>
            </w:r>
          </w:p>
        </w:tc>
      </w:tr>
      <w:tr w:rsidR="00475888" w:rsidRPr="002B61DF" w14:paraId="0D05A65E" w14:textId="77777777">
        <w:trPr>
          <w:jc w:val="center"/>
        </w:trPr>
        <w:tc>
          <w:tcPr>
            <w:tcW w:w="1881" w:type="dxa"/>
            <w:vAlign w:val="center"/>
          </w:tcPr>
          <w:p w14:paraId="487B13B9" w14:textId="77777777" w:rsidR="00475888" w:rsidRPr="002B61DF" w:rsidRDefault="00000000" w:rsidP="002B61DF">
            <w:pPr>
              <w:spacing w:line="360" w:lineRule="auto"/>
              <w:rPr>
                <w:rFonts w:cs="Arial"/>
                <w:szCs w:val="24"/>
              </w:rPr>
            </w:pPr>
            <w:r w:rsidRPr="002B61DF">
              <w:rPr>
                <w:rFonts w:cs="Arial"/>
                <w:szCs w:val="24"/>
              </w:rPr>
              <w:t>Jun 2025</w:t>
            </w:r>
          </w:p>
        </w:tc>
        <w:tc>
          <w:tcPr>
            <w:tcW w:w="1881" w:type="dxa"/>
            <w:vAlign w:val="center"/>
          </w:tcPr>
          <w:p w14:paraId="34B07A0C" w14:textId="77777777" w:rsidR="00475888" w:rsidRPr="002B61DF" w:rsidRDefault="00000000" w:rsidP="002B61DF">
            <w:pPr>
              <w:spacing w:line="360" w:lineRule="auto"/>
              <w:rPr>
                <w:rFonts w:cs="Arial"/>
                <w:szCs w:val="24"/>
              </w:rPr>
            </w:pPr>
            <w:r w:rsidRPr="002B61DF">
              <w:rPr>
                <w:rFonts w:cs="Arial"/>
                <w:szCs w:val="24"/>
              </w:rPr>
              <w:t>28.54</w:t>
            </w:r>
          </w:p>
        </w:tc>
        <w:tc>
          <w:tcPr>
            <w:tcW w:w="1881" w:type="dxa"/>
            <w:vAlign w:val="center"/>
          </w:tcPr>
          <w:p w14:paraId="7146F007" w14:textId="77777777" w:rsidR="00475888" w:rsidRPr="002B61DF" w:rsidRDefault="00000000" w:rsidP="002B61DF">
            <w:pPr>
              <w:spacing w:line="360" w:lineRule="auto"/>
              <w:rPr>
                <w:rFonts w:cs="Arial"/>
                <w:szCs w:val="24"/>
              </w:rPr>
            </w:pPr>
            <w:r w:rsidRPr="002B61DF">
              <w:rPr>
                <w:rFonts w:cs="Arial"/>
                <w:szCs w:val="24"/>
              </w:rPr>
              <w:t>0.42%</w:t>
            </w:r>
          </w:p>
        </w:tc>
        <w:tc>
          <w:tcPr>
            <w:tcW w:w="1881" w:type="dxa"/>
            <w:vAlign w:val="center"/>
          </w:tcPr>
          <w:p w14:paraId="49733C4C" w14:textId="77777777" w:rsidR="00475888" w:rsidRPr="002B61DF" w:rsidRDefault="00000000" w:rsidP="002B61DF">
            <w:pPr>
              <w:spacing w:line="360" w:lineRule="auto"/>
              <w:rPr>
                <w:rFonts w:cs="Arial"/>
                <w:szCs w:val="24"/>
              </w:rPr>
            </w:pPr>
            <w:r w:rsidRPr="002B61DF">
              <w:rPr>
                <w:rFonts w:cs="Arial"/>
                <w:szCs w:val="24"/>
              </w:rPr>
              <w:t>233.67</w:t>
            </w:r>
          </w:p>
        </w:tc>
        <w:tc>
          <w:tcPr>
            <w:tcW w:w="1881" w:type="dxa"/>
            <w:vAlign w:val="center"/>
          </w:tcPr>
          <w:p w14:paraId="64DCFDE8" w14:textId="77777777" w:rsidR="00475888" w:rsidRPr="002B61DF" w:rsidRDefault="00000000" w:rsidP="002B61DF">
            <w:pPr>
              <w:spacing w:line="360" w:lineRule="auto"/>
              <w:rPr>
                <w:rFonts w:cs="Arial"/>
                <w:szCs w:val="24"/>
              </w:rPr>
            </w:pPr>
            <w:r w:rsidRPr="002B61DF">
              <w:rPr>
                <w:rFonts w:cs="Arial"/>
                <w:szCs w:val="24"/>
              </w:rPr>
              <w:t>-3.04%</w:t>
            </w:r>
          </w:p>
        </w:tc>
      </w:tr>
      <w:tr w:rsidR="00475888" w:rsidRPr="002B61DF" w14:paraId="530E6AAE" w14:textId="77777777">
        <w:trPr>
          <w:jc w:val="center"/>
        </w:trPr>
        <w:tc>
          <w:tcPr>
            <w:tcW w:w="1881" w:type="dxa"/>
            <w:vAlign w:val="center"/>
          </w:tcPr>
          <w:p w14:paraId="2CCC2C02" w14:textId="77777777" w:rsidR="00475888" w:rsidRPr="002B61DF" w:rsidRDefault="00000000" w:rsidP="002B61DF">
            <w:pPr>
              <w:spacing w:line="360" w:lineRule="auto"/>
              <w:rPr>
                <w:rFonts w:cs="Arial"/>
                <w:szCs w:val="24"/>
              </w:rPr>
            </w:pPr>
            <w:r w:rsidRPr="002B61DF">
              <w:rPr>
                <w:rFonts w:cs="Arial"/>
                <w:szCs w:val="24"/>
              </w:rPr>
              <w:t>Jul 2025</w:t>
            </w:r>
          </w:p>
        </w:tc>
        <w:tc>
          <w:tcPr>
            <w:tcW w:w="1881" w:type="dxa"/>
            <w:vAlign w:val="center"/>
          </w:tcPr>
          <w:p w14:paraId="2FC1039F" w14:textId="77777777" w:rsidR="00475888" w:rsidRPr="002B61DF" w:rsidRDefault="00000000" w:rsidP="002B61DF">
            <w:pPr>
              <w:spacing w:line="360" w:lineRule="auto"/>
              <w:rPr>
                <w:rFonts w:cs="Arial"/>
                <w:szCs w:val="24"/>
              </w:rPr>
            </w:pPr>
            <w:r w:rsidRPr="002B61DF">
              <w:rPr>
                <w:rFonts w:cs="Arial"/>
                <w:szCs w:val="24"/>
              </w:rPr>
              <w:t>30.06</w:t>
            </w:r>
          </w:p>
        </w:tc>
        <w:tc>
          <w:tcPr>
            <w:tcW w:w="1881" w:type="dxa"/>
            <w:vAlign w:val="center"/>
          </w:tcPr>
          <w:p w14:paraId="1AB4BBC3" w14:textId="77777777" w:rsidR="00475888" w:rsidRPr="002B61DF" w:rsidRDefault="00000000" w:rsidP="002B61DF">
            <w:pPr>
              <w:spacing w:line="360" w:lineRule="auto"/>
              <w:rPr>
                <w:rFonts w:cs="Arial"/>
                <w:szCs w:val="24"/>
              </w:rPr>
            </w:pPr>
            <w:r w:rsidRPr="002B61DF">
              <w:rPr>
                <w:rFonts w:cs="Arial"/>
                <w:szCs w:val="24"/>
              </w:rPr>
              <w:t>5.33%</w:t>
            </w:r>
          </w:p>
        </w:tc>
        <w:tc>
          <w:tcPr>
            <w:tcW w:w="1881" w:type="dxa"/>
            <w:vAlign w:val="center"/>
          </w:tcPr>
          <w:p w14:paraId="2293E8E1" w14:textId="77777777" w:rsidR="00475888" w:rsidRPr="002B61DF" w:rsidRDefault="00000000" w:rsidP="002B61DF">
            <w:pPr>
              <w:spacing w:line="360" w:lineRule="auto"/>
              <w:rPr>
                <w:rFonts w:cs="Arial"/>
                <w:szCs w:val="24"/>
              </w:rPr>
            </w:pPr>
            <w:r w:rsidRPr="002B61DF">
              <w:rPr>
                <w:rFonts w:cs="Arial"/>
                <w:szCs w:val="24"/>
              </w:rPr>
              <w:t>264.33</w:t>
            </w:r>
          </w:p>
        </w:tc>
        <w:tc>
          <w:tcPr>
            <w:tcW w:w="1881" w:type="dxa"/>
            <w:vAlign w:val="center"/>
          </w:tcPr>
          <w:p w14:paraId="1F59CCB1" w14:textId="77777777" w:rsidR="00475888" w:rsidRPr="002B61DF" w:rsidRDefault="00000000" w:rsidP="002B61DF">
            <w:pPr>
              <w:spacing w:line="360" w:lineRule="auto"/>
              <w:rPr>
                <w:rFonts w:cs="Arial"/>
                <w:szCs w:val="24"/>
              </w:rPr>
            </w:pPr>
            <w:r w:rsidRPr="002B61DF">
              <w:rPr>
                <w:rFonts w:cs="Arial"/>
                <w:szCs w:val="24"/>
              </w:rPr>
              <w:t>13.12%</w:t>
            </w:r>
          </w:p>
        </w:tc>
      </w:tr>
      <w:tr w:rsidR="00475888" w:rsidRPr="002B61DF" w14:paraId="35EB83C6" w14:textId="77777777">
        <w:trPr>
          <w:jc w:val="center"/>
        </w:trPr>
        <w:tc>
          <w:tcPr>
            <w:tcW w:w="1881" w:type="dxa"/>
            <w:vAlign w:val="center"/>
          </w:tcPr>
          <w:p w14:paraId="6B1F80E1" w14:textId="77777777" w:rsidR="00475888" w:rsidRPr="002B61DF" w:rsidRDefault="00000000" w:rsidP="002B61DF">
            <w:pPr>
              <w:spacing w:line="360" w:lineRule="auto"/>
              <w:rPr>
                <w:rFonts w:cs="Arial"/>
                <w:szCs w:val="24"/>
              </w:rPr>
            </w:pPr>
            <w:r w:rsidRPr="002B61DF">
              <w:rPr>
                <w:rFonts w:cs="Arial"/>
                <w:szCs w:val="24"/>
              </w:rPr>
              <w:t>Aug 2025</w:t>
            </w:r>
          </w:p>
        </w:tc>
        <w:tc>
          <w:tcPr>
            <w:tcW w:w="1881" w:type="dxa"/>
            <w:vAlign w:val="center"/>
          </w:tcPr>
          <w:p w14:paraId="32A0389E" w14:textId="77777777" w:rsidR="00475888" w:rsidRPr="002B61DF" w:rsidRDefault="00000000" w:rsidP="002B61DF">
            <w:pPr>
              <w:spacing w:line="360" w:lineRule="auto"/>
              <w:rPr>
                <w:rFonts w:cs="Arial"/>
                <w:szCs w:val="24"/>
              </w:rPr>
            </w:pPr>
            <w:r w:rsidRPr="002B61DF">
              <w:rPr>
                <w:rFonts w:cs="Arial"/>
                <w:szCs w:val="24"/>
              </w:rPr>
              <w:t>32.95</w:t>
            </w:r>
          </w:p>
        </w:tc>
        <w:tc>
          <w:tcPr>
            <w:tcW w:w="1881" w:type="dxa"/>
            <w:vAlign w:val="center"/>
          </w:tcPr>
          <w:p w14:paraId="47A8C90F" w14:textId="77777777" w:rsidR="00475888" w:rsidRPr="002B61DF" w:rsidRDefault="00000000" w:rsidP="002B61DF">
            <w:pPr>
              <w:spacing w:line="360" w:lineRule="auto"/>
              <w:rPr>
                <w:rFonts w:cs="Arial"/>
                <w:szCs w:val="24"/>
              </w:rPr>
            </w:pPr>
            <w:r w:rsidRPr="002B61DF">
              <w:rPr>
                <w:rFonts w:cs="Arial"/>
                <w:szCs w:val="24"/>
              </w:rPr>
              <w:t>9.61%</w:t>
            </w:r>
          </w:p>
        </w:tc>
        <w:tc>
          <w:tcPr>
            <w:tcW w:w="1881" w:type="dxa"/>
            <w:vAlign w:val="center"/>
          </w:tcPr>
          <w:p w14:paraId="31361F1D" w14:textId="77777777" w:rsidR="00475888" w:rsidRPr="002B61DF" w:rsidRDefault="00000000" w:rsidP="002B61DF">
            <w:pPr>
              <w:spacing w:line="360" w:lineRule="auto"/>
              <w:rPr>
                <w:rFonts w:cs="Arial"/>
                <w:szCs w:val="24"/>
              </w:rPr>
            </w:pPr>
            <w:r w:rsidRPr="002B61DF">
              <w:rPr>
                <w:rFonts w:cs="Arial"/>
                <w:szCs w:val="24"/>
              </w:rPr>
              <w:t>207.73</w:t>
            </w:r>
          </w:p>
        </w:tc>
        <w:tc>
          <w:tcPr>
            <w:tcW w:w="1881" w:type="dxa"/>
            <w:vAlign w:val="center"/>
          </w:tcPr>
          <w:p w14:paraId="04546D23" w14:textId="77777777" w:rsidR="00475888" w:rsidRPr="002B61DF" w:rsidRDefault="00000000" w:rsidP="002B61DF">
            <w:pPr>
              <w:spacing w:line="360" w:lineRule="auto"/>
              <w:rPr>
                <w:rFonts w:cs="Arial"/>
                <w:szCs w:val="24"/>
              </w:rPr>
            </w:pPr>
            <w:r w:rsidRPr="002B61DF">
              <w:rPr>
                <w:rFonts w:cs="Arial"/>
                <w:szCs w:val="24"/>
              </w:rPr>
              <w:t>-21.41%</w:t>
            </w:r>
          </w:p>
        </w:tc>
      </w:tr>
      <w:tr w:rsidR="00475888" w:rsidRPr="002B61DF" w14:paraId="145A20D1" w14:textId="77777777">
        <w:trPr>
          <w:jc w:val="center"/>
        </w:trPr>
        <w:tc>
          <w:tcPr>
            <w:tcW w:w="1881" w:type="dxa"/>
            <w:vAlign w:val="center"/>
          </w:tcPr>
          <w:p w14:paraId="272B1547" w14:textId="77777777" w:rsidR="00475888" w:rsidRPr="002B61DF" w:rsidRDefault="00000000" w:rsidP="002B61DF">
            <w:pPr>
              <w:spacing w:line="360" w:lineRule="auto"/>
              <w:rPr>
                <w:rFonts w:cs="Arial"/>
                <w:szCs w:val="24"/>
              </w:rPr>
            </w:pPr>
            <w:r w:rsidRPr="002B61DF">
              <w:rPr>
                <w:rFonts w:cs="Arial"/>
                <w:szCs w:val="24"/>
              </w:rPr>
              <w:t>Sep 2025</w:t>
            </w:r>
          </w:p>
        </w:tc>
        <w:tc>
          <w:tcPr>
            <w:tcW w:w="1881" w:type="dxa"/>
            <w:vAlign w:val="center"/>
          </w:tcPr>
          <w:p w14:paraId="3ADC102C" w14:textId="77777777" w:rsidR="00475888" w:rsidRPr="002B61DF" w:rsidRDefault="00000000" w:rsidP="002B61DF">
            <w:pPr>
              <w:spacing w:line="360" w:lineRule="auto"/>
              <w:rPr>
                <w:rFonts w:cs="Arial"/>
                <w:szCs w:val="24"/>
              </w:rPr>
            </w:pPr>
            <w:r w:rsidRPr="002B61DF">
              <w:rPr>
                <w:rFonts w:cs="Arial"/>
                <w:szCs w:val="24"/>
              </w:rPr>
              <w:t>32.50</w:t>
            </w:r>
          </w:p>
        </w:tc>
        <w:tc>
          <w:tcPr>
            <w:tcW w:w="1881" w:type="dxa"/>
            <w:vAlign w:val="center"/>
          </w:tcPr>
          <w:p w14:paraId="2765377C" w14:textId="77777777" w:rsidR="00475888" w:rsidRPr="002B61DF" w:rsidRDefault="00000000" w:rsidP="002B61DF">
            <w:pPr>
              <w:spacing w:line="360" w:lineRule="auto"/>
              <w:rPr>
                <w:rFonts w:cs="Arial"/>
                <w:szCs w:val="24"/>
              </w:rPr>
            </w:pPr>
            <w:r w:rsidRPr="002B61DF">
              <w:rPr>
                <w:rFonts w:cs="Arial"/>
                <w:szCs w:val="24"/>
              </w:rPr>
              <w:t>-1.37%</w:t>
            </w:r>
          </w:p>
        </w:tc>
        <w:tc>
          <w:tcPr>
            <w:tcW w:w="1881" w:type="dxa"/>
            <w:vAlign w:val="center"/>
          </w:tcPr>
          <w:p w14:paraId="710E5F2B" w14:textId="77777777" w:rsidR="00475888" w:rsidRPr="002B61DF" w:rsidRDefault="00000000" w:rsidP="002B61DF">
            <w:pPr>
              <w:spacing w:line="360" w:lineRule="auto"/>
              <w:rPr>
                <w:rFonts w:cs="Arial"/>
                <w:szCs w:val="24"/>
              </w:rPr>
            </w:pPr>
            <w:r w:rsidRPr="002B61DF">
              <w:rPr>
                <w:rFonts w:cs="Arial"/>
                <w:szCs w:val="24"/>
              </w:rPr>
              <w:t>195.64</w:t>
            </w:r>
          </w:p>
        </w:tc>
        <w:tc>
          <w:tcPr>
            <w:tcW w:w="1881" w:type="dxa"/>
            <w:vAlign w:val="center"/>
          </w:tcPr>
          <w:p w14:paraId="4F65EDA1" w14:textId="77777777" w:rsidR="00475888" w:rsidRPr="002B61DF" w:rsidRDefault="00000000" w:rsidP="002B61DF">
            <w:pPr>
              <w:spacing w:line="360" w:lineRule="auto"/>
              <w:rPr>
                <w:rFonts w:cs="Arial"/>
                <w:szCs w:val="24"/>
              </w:rPr>
            </w:pPr>
            <w:r w:rsidRPr="002B61DF">
              <w:rPr>
                <w:rFonts w:cs="Arial"/>
                <w:szCs w:val="24"/>
              </w:rPr>
              <w:t>-5.82%</w:t>
            </w:r>
          </w:p>
        </w:tc>
      </w:tr>
      <w:tr w:rsidR="00475888" w:rsidRPr="002B61DF" w14:paraId="5D8E4740" w14:textId="77777777">
        <w:trPr>
          <w:jc w:val="center"/>
        </w:trPr>
        <w:tc>
          <w:tcPr>
            <w:tcW w:w="1881" w:type="dxa"/>
            <w:vAlign w:val="center"/>
          </w:tcPr>
          <w:p w14:paraId="60A9B7E8" w14:textId="77777777" w:rsidR="00475888" w:rsidRPr="002B61DF" w:rsidRDefault="00000000" w:rsidP="002B61DF">
            <w:pPr>
              <w:spacing w:line="360" w:lineRule="auto"/>
              <w:rPr>
                <w:rFonts w:cs="Arial"/>
                <w:szCs w:val="24"/>
              </w:rPr>
            </w:pPr>
            <w:r w:rsidRPr="002B61DF">
              <w:rPr>
                <w:rFonts w:cs="Arial"/>
                <w:szCs w:val="24"/>
              </w:rPr>
              <w:t>Oct 2025</w:t>
            </w:r>
          </w:p>
        </w:tc>
        <w:tc>
          <w:tcPr>
            <w:tcW w:w="1881" w:type="dxa"/>
            <w:vAlign w:val="center"/>
          </w:tcPr>
          <w:p w14:paraId="6A013225" w14:textId="77777777" w:rsidR="00475888" w:rsidRPr="002B61DF" w:rsidRDefault="00000000" w:rsidP="002B61DF">
            <w:pPr>
              <w:spacing w:line="360" w:lineRule="auto"/>
              <w:rPr>
                <w:rFonts w:cs="Arial"/>
                <w:szCs w:val="24"/>
              </w:rPr>
            </w:pPr>
            <w:r w:rsidRPr="002B61DF">
              <w:rPr>
                <w:rFonts w:cs="Arial"/>
                <w:szCs w:val="24"/>
              </w:rPr>
              <w:t>35.87</w:t>
            </w:r>
          </w:p>
        </w:tc>
        <w:tc>
          <w:tcPr>
            <w:tcW w:w="1881" w:type="dxa"/>
            <w:vAlign w:val="center"/>
          </w:tcPr>
          <w:p w14:paraId="4AEDA0BD" w14:textId="77777777" w:rsidR="00475888" w:rsidRPr="002B61DF" w:rsidRDefault="00000000" w:rsidP="002B61DF">
            <w:pPr>
              <w:spacing w:line="360" w:lineRule="auto"/>
              <w:rPr>
                <w:rFonts w:cs="Arial"/>
                <w:szCs w:val="24"/>
              </w:rPr>
            </w:pPr>
            <w:r w:rsidRPr="002B61DF">
              <w:rPr>
                <w:rFonts w:cs="Arial"/>
                <w:szCs w:val="24"/>
              </w:rPr>
              <w:t>10.37%</w:t>
            </w:r>
          </w:p>
        </w:tc>
        <w:tc>
          <w:tcPr>
            <w:tcW w:w="1881" w:type="dxa"/>
            <w:vAlign w:val="center"/>
          </w:tcPr>
          <w:p w14:paraId="193C50B3" w14:textId="77777777" w:rsidR="00475888" w:rsidRPr="002B61DF" w:rsidRDefault="00000000" w:rsidP="002B61DF">
            <w:pPr>
              <w:spacing w:line="360" w:lineRule="auto"/>
              <w:rPr>
                <w:rFonts w:cs="Arial"/>
                <w:szCs w:val="24"/>
              </w:rPr>
            </w:pPr>
            <w:r w:rsidRPr="002B61DF">
              <w:rPr>
                <w:rFonts w:cs="Arial"/>
                <w:szCs w:val="24"/>
              </w:rPr>
              <w:t>176.19</w:t>
            </w:r>
          </w:p>
        </w:tc>
        <w:tc>
          <w:tcPr>
            <w:tcW w:w="1881" w:type="dxa"/>
            <w:vAlign w:val="center"/>
          </w:tcPr>
          <w:p w14:paraId="39F094EE" w14:textId="77777777" w:rsidR="00475888" w:rsidRPr="002B61DF" w:rsidRDefault="00000000" w:rsidP="002B61DF">
            <w:pPr>
              <w:spacing w:line="360" w:lineRule="auto"/>
              <w:rPr>
                <w:rFonts w:cs="Arial"/>
                <w:szCs w:val="24"/>
              </w:rPr>
            </w:pPr>
            <w:r w:rsidRPr="002B61DF">
              <w:rPr>
                <w:rFonts w:cs="Arial"/>
                <w:szCs w:val="24"/>
              </w:rPr>
              <w:t>-9.94%</w:t>
            </w:r>
          </w:p>
        </w:tc>
      </w:tr>
      <w:tr w:rsidR="00475888" w:rsidRPr="002B61DF" w14:paraId="1A55259B" w14:textId="77777777">
        <w:trPr>
          <w:jc w:val="center"/>
        </w:trPr>
        <w:tc>
          <w:tcPr>
            <w:tcW w:w="1881" w:type="dxa"/>
            <w:vAlign w:val="center"/>
          </w:tcPr>
          <w:p w14:paraId="36504575" w14:textId="77777777" w:rsidR="00475888" w:rsidRPr="002B61DF" w:rsidRDefault="00000000" w:rsidP="002B61DF">
            <w:pPr>
              <w:spacing w:line="360" w:lineRule="auto"/>
              <w:rPr>
                <w:rFonts w:cs="Arial"/>
                <w:szCs w:val="24"/>
              </w:rPr>
            </w:pPr>
            <w:r w:rsidRPr="002B61DF">
              <w:rPr>
                <w:rFonts w:cs="Arial"/>
                <w:szCs w:val="24"/>
              </w:rPr>
              <w:lastRenderedPageBreak/>
              <w:t>Nov 2025</w:t>
            </w:r>
          </w:p>
        </w:tc>
        <w:tc>
          <w:tcPr>
            <w:tcW w:w="1881" w:type="dxa"/>
            <w:vAlign w:val="center"/>
          </w:tcPr>
          <w:p w14:paraId="40855FDD" w14:textId="77777777" w:rsidR="00475888" w:rsidRPr="002B61DF" w:rsidRDefault="00000000" w:rsidP="002B61DF">
            <w:pPr>
              <w:spacing w:line="360" w:lineRule="auto"/>
              <w:rPr>
                <w:rFonts w:cs="Arial"/>
                <w:szCs w:val="24"/>
              </w:rPr>
            </w:pPr>
            <w:r w:rsidRPr="002B61DF">
              <w:rPr>
                <w:rFonts w:cs="Arial"/>
                <w:szCs w:val="24"/>
              </w:rPr>
              <w:t>34.64</w:t>
            </w:r>
          </w:p>
        </w:tc>
        <w:tc>
          <w:tcPr>
            <w:tcW w:w="1881" w:type="dxa"/>
            <w:vAlign w:val="center"/>
          </w:tcPr>
          <w:p w14:paraId="57BB6A44" w14:textId="77777777" w:rsidR="00475888" w:rsidRPr="002B61DF" w:rsidRDefault="00000000" w:rsidP="002B61DF">
            <w:pPr>
              <w:spacing w:line="360" w:lineRule="auto"/>
              <w:rPr>
                <w:rFonts w:cs="Arial"/>
                <w:szCs w:val="24"/>
              </w:rPr>
            </w:pPr>
            <w:r w:rsidRPr="002B61DF">
              <w:rPr>
                <w:rFonts w:cs="Arial"/>
                <w:szCs w:val="24"/>
              </w:rPr>
              <w:t>-3.43%</w:t>
            </w:r>
          </w:p>
        </w:tc>
        <w:tc>
          <w:tcPr>
            <w:tcW w:w="1881" w:type="dxa"/>
            <w:vAlign w:val="center"/>
          </w:tcPr>
          <w:p w14:paraId="4BE88965" w14:textId="77777777" w:rsidR="00475888" w:rsidRPr="002B61DF" w:rsidRDefault="00000000" w:rsidP="002B61DF">
            <w:pPr>
              <w:spacing w:line="360" w:lineRule="auto"/>
              <w:rPr>
                <w:rFonts w:cs="Arial"/>
                <w:szCs w:val="24"/>
              </w:rPr>
            </w:pPr>
            <w:r w:rsidRPr="002B61DF">
              <w:rPr>
                <w:rFonts w:cs="Arial"/>
                <w:szCs w:val="24"/>
              </w:rPr>
              <w:t>183.89</w:t>
            </w:r>
          </w:p>
        </w:tc>
        <w:tc>
          <w:tcPr>
            <w:tcW w:w="1881" w:type="dxa"/>
            <w:vAlign w:val="center"/>
          </w:tcPr>
          <w:p w14:paraId="32EBC79A" w14:textId="77777777" w:rsidR="00475888" w:rsidRPr="002B61DF" w:rsidRDefault="00000000" w:rsidP="002B61DF">
            <w:pPr>
              <w:spacing w:line="360" w:lineRule="auto"/>
              <w:rPr>
                <w:rFonts w:cs="Arial"/>
                <w:szCs w:val="24"/>
              </w:rPr>
            </w:pPr>
            <w:r w:rsidRPr="002B61DF">
              <w:rPr>
                <w:rFonts w:cs="Arial"/>
                <w:szCs w:val="24"/>
              </w:rPr>
              <w:t>4.37%</w:t>
            </w:r>
          </w:p>
        </w:tc>
      </w:tr>
      <w:tr w:rsidR="00475888" w:rsidRPr="002B61DF" w14:paraId="13F5BC56" w14:textId="77777777">
        <w:trPr>
          <w:jc w:val="center"/>
        </w:trPr>
        <w:tc>
          <w:tcPr>
            <w:tcW w:w="1881" w:type="dxa"/>
            <w:vAlign w:val="center"/>
          </w:tcPr>
          <w:p w14:paraId="4F9069CC" w14:textId="77777777" w:rsidR="00475888" w:rsidRPr="002B61DF" w:rsidRDefault="00000000" w:rsidP="002B61DF">
            <w:pPr>
              <w:spacing w:line="360" w:lineRule="auto"/>
              <w:rPr>
                <w:rFonts w:cs="Arial"/>
                <w:szCs w:val="24"/>
              </w:rPr>
            </w:pPr>
            <w:r w:rsidRPr="002B61DF">
              <w:rPr>
                <w:rFonts w:cs="Arial"/>
                <w:szCs w:val="24"/>
              </w:rPr>
              <w:t>Dec 2025</w:t>
            </w:r>
          </w:p>
        </w:tc>
        <w:tc>
          <w:tcPr>
            <w:tcW w:w="1881" w:type="dxa"/>
            <w:vAlign w:val="center"/>
          </w:tcPr>
          <w:p w14:paraId="7237A3AD" w14:textId="77777777" w:rsidR="00475888" w:rsidRPr="002B61DF" w:rsidRDefault="00000000" w:rsidP="002B61DF">
            <w:pPr>
              <w:spacing w:line="360" w:lineRule="auto"/>
              <w:rPr>
                <w:rFonts w:cs="Arial"/>
                <w:szCs w:val="24"/>
              </w:rPr>
            </w:pPr>
            <w:r w:rsidRPr="002B61DF">
              <w:rPr>
                <w:rFonts w:cs="Arial"/>
                <w:szCs w:val="24"/>
              </w:rPr>
              <w:t>36.34</w:t>
            </w:r>
          </w:p>
        </w:tc>
        <w:tc>
          <w:tcPr>
            <w:tcW w:w="1881" w:type="dxa"/>
            <w:vAlign w:val="center"/>
          </w:tcPr>
          <w:p w14:paraId="5B8F2B9E" w14:textId="77777777" w:rsidR="00475888" w:rsidRPr="002B61DF" w:rsidRDefault="00000000" w:rsidP="002B61DF">
            <w:pPr>
              <w:spacing w:line="360" w:lineRule="auto"/>
              <w:rPr>
                <w:rFonts w:cs="Arial"/>
                <w:szCs w:val="24"/>
              </w:rPr>
            </w:pPr>
            <w:r w:rsidRPr="002B61DF">
              <w:rPr>
                <w:rFonts w:cs="Arial"/>
                <w:szCs w:val="24"/>
              </w:rPr>
              <w:t>4.91%</w:t>
            </w:r>
          </w:p>
        </w:tc>
        <w:tc>
          <w:tcPr>
            <w:tcW w:w="1881" w:type="dxa"/>
            <w:vAlign w:val="center"/>
          </w:tcPr>
          <w:p w14:paraId="1E892B56" w14:textId="77777777" w:rsidR="00475888" w:rsidRPr="002B61DF" w:rsidRDefault="00000000" w:rsidP="002B61DF">
            <w:pPr>
              <w:spacing w:line="360" w:lineRule="auto"/>
              <w:rPr>
                <w:rFonts w:cs="Arial"/>
                <w:szCs w:val="24"/>
              </w:rPr>
            </w:pPr>
            <w:r w:rsidRPr="002B61DF">
              <w:rPr>
                <w:rFonts w:cs="Arial"/>
                <w:szCs w:val="24"/>
              </w:rPr>
              <w:t>170.42</w:t>
            </w:r>
          </w:p>
        </w:tc>
        <w:tc>
          <w:tcPr>
            <w:tcW w:w="1881" w:type="dxa"/>
            <w:vAlign w:val="center"/>
          </w:tcPr>
          <w:p w14:paraId="0F503B0B" w14:textId="77777777" w:rsidR="00475888" w:rsidRPr="002B61DF" w:rsidRDefault="00000000" w:rsidP="002B61DF">
            <w:pPr>
              <w:spacing w:line="360" w:lineRule="auto"/>
              <w:rPr>
                <w:rFonts w:cs="Arial"/>
                <w:szCs w:val="24"/>
              </w:rPr>
            </w:pPr>
            <w:r w:rsidRPr="002B61DF">
              <w:rPr>
                <w:rFonts w:cs="Arial"/>
                <w:szCs w:val="24"/>
              </w:rPr>
              <w:t>-7.33%</w:t>
            </w:r>
          </w:p>
        </w:tc>
      </w:tr>
    </w:tbl>
    <w:p w14:paraId="5546F094" w14:textId="77777777" w:rsidR="00856F7D" w:rsidRPr="002B61DF" w:rsidRDefault="00856F7D" w:rsidP="002B61DF">
      <w:pPr>
        <w:spacing w:line="360" w:lineRule="auto"/>
        <w:rPr>
          <w:rFonts w:cs="Arial"/>
        </w:rPr>
      </w:pPr>
    </w:p>
    <w:sectPr w:rsidR="00856F7D" w:rsidRPr="002B61DF" w:rsidSect="002B61DF">
      <w:footerReference w:type="default" r:id="rId31"/>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14AE2" w14:textId="77777777" w:rsidR="000F5733" w:rsidRDefault="000F5733">
      <w:pPr>
        <w:spacing w:after="0" w:line="240" w:lineRule="auto"/>
      </w:pPr>
      <w:r>
        <w:separator/>
      </w:r>
    </w:p>
  </w:endnote>
  <w:endnote w:type="continuationSeparator" w:id="0">
    <w:p w14:paraId="2EB89907" w14:textId="77777777" w:rsidR="000F5733" w:rsidRDefault="000F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4C4F" w14:textId="6A57D2C5" w:rsidR="00475888" w:rsidRDefault="0047588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69786"/>
      <w:docPartObj>
        <w:docPartGallery w:val="Page Numbers (Bottom of Page)"/>
        <w:docPartUnique/>
      </w:docPartObj>
    </w:sdtPr>
    <w:sdtEndPr>
      <w:rPr>
        <w:noProof/>
      </w:rPr>
    </w:sdtEndPr>
    <w:sdtContent>
      <w:p w14:paraId="4CCA1E1B" w14:textId="707604DD" w:rsidR="002B61DF" w:rsidRDefault="002B61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FD152D" w14:textId="77777777" w:rsidR="002B61DF" w:rsidRDefault="002B61D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650683"/>
      <w:docPartObj>
        <w:docPartGallery w:val="Page Numbers (Bottom of Page)"/>
        <w:docPartUnique/>
      </w:docPartObj>
    </w:sdtPr>
    <w:sdtEndPr>
      <w:rPr>
        <w:noProof/>
      </w:rPr>
    </w:sdtEndPr>
    <w:sdtContent>
      <w:p w14:paraId="7AA3E15E" w14:textId="77777777" w:rsidR="002B61DF" w:rsidRDefault="002B61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09CAA8" w14:textId="77777777" w:rsidR="002B61DF" w:rsidRDefault="002B61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7356" w14:textId="77777777" w:rsidR="000F5733" w:rsidRDefault="000F5733">
      <w:pPr>
        <w:spacing w:after="0" w:line="240" w:lineRule="auto"/>
      </w:pPr>
      <w:r>
        <w:separator/>
      </w:r>
    </w:p>
  </w:footnote>
  <w:footnote w:type="continuationSeparator" w:id="0">
    <w:p w14:paraId="54ACDDCB" w14:textId="77777777" w:rsidR="000F5733" w:rsidRDefault="000F5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CA34E9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102870895">
    <w:abstractNumId w:val="8"/>
  </w:num>
  <w:num w:numId="2" w16cid:durableId="1651012511">
    <w:abstractNumId w:val="6"/>
  </w:num>
  <w:num w:numId="3" w16cid:durableId="1271860051">
    <w:abstractNumId w:val="5"/>
  </w:num>
  <w:num w:numId="4" w16cid:durableId="773670625">
    <w:abstractNumId w:val="4"/>
  </w:num>
  <w:num w:numId="5" w16cid:durableId="23869289">
    <w:abstractNumId w:val="7"/>
  </w:num>
  <w:num w:numId="6" w16cid:durableId="1964342917">
    <w:abstractNumId w:val="3"/>
  </w:num>
  <w:num w:numId="7" w16cid:durableId="536478153">
    <w:abstractNumId w:val="2"/>
  </w:num>
  <w:num w:numId="8" w16cid:durableId="1144466682">
    <w:abstractNumId w:val="1"/>
  </w:num>
  <w:num w:numId="9" w16cid:durableId="2091079297">
    <w:abstractNumId w:val="0"/>
  </w:num>
  <w:num w:numId="10" w16cid:durableId="16910291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B42"/>
    <w:rsid w:val="000545CB"/>
    <w:rsid w:val="0006063C"/>
    <w:rsid w:val="000F5733"/>
    <w:rsid w:val="0015074B"/>
    <w:rsid w:val="0029639D"/>
    <w:rsid w:val="002B61DF"/>
    <w:rsid w:val="00326F90"/>
    <w:rsid w:val="003476E5"/>
    <w:rsid w:val="003620E3"/>
    <w:rsid w:val="003873ED"/>
    <w:rsid w:val="00475888"/>
    <w:rsid w:val="00483A0A"/>
    <w:rsid w:val="006B5C3A"/>
    <w:rsid w:val="007B2E45"/>
    <w:rsid w:val="00856F7D"/>
    <w:rsid w:val="00894DB3"/>
    <w:rsid w:val="009018DA"/>
    <w:rsid w:val="00AA1D8D"/>
    <w:rsid w:val="00B277DB"/>
    <w:rsid w:val="00B47730"/>
    <w:rsid w:val="00C862AF"/>
    <w:rsid w:val="00CA3A2C"/>
    <w:rsid w:val="00CB0664"/>
    <w:rsid w:val="00EF1BF3"/>
    <w:rsid w:val="00F96910"/>
    <w:rsid w:val="00FB1A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231C11"/>
  <w14:defaultImageDpi w14:val="300"/>
  <w15:docId w15:val="{B9689DF3-2DC4-0046-A514-40A15805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4"/>
    </w:rPr>
  </w:style>
  <w:style w:type="paragraph" w:styleId="Heading1">
    <w:name w:val="heading 1"/>
    <w:basedOn w:val="Normal"/>
    <w:next w:val="Normal"/>
    <w:link w:val="Heading1Char"/>
    <w:uiPriority w:val="9"/>
    <w:qFormat/>
    <w:rsid w:val="007B2E45"/>
    <w:pPr>
      <w:keepNext/>
      <w:keepLines/>
      <w:numPr>
        <w:numId w:val="10"/>
      </w:numPr>
      <w:spacing w:before="480" w:after="0" w:line="360" w:lineRule="auto"/>
      <w:outlineLvl w:val="0"/>
    </w:pPr>
    <w:rPr>
      <w:rFonts w:eastAsiaTheme="majorEastAsia" w:cs="Arial"/>
      <w:b/>
      <w:bCs/>
      <w:sz w:val="28"/>
      <w:szCs w:val="28"/>
    </w:rPr>
  </w:style>
  <w:style w:type="paragraph" w:styleId="Heading2">
    <w:name w:val="heading 2"/>
    <w:basedOn w:val="Normal"/>
    <w:next w:val="Normal"/>
    <w:link w:val="Heading2Char"/>
    <w:uiPriority w:val="9"/>
    <w:unhideWhenUsed/>
    <w:qFormat/>
    <w:rsid w:val="00FC693F"/>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0"/>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B2E45"/>
    <w:rPr>
      <w:rFonts w:ascii="Arial" w:eastAsiaTheme="majorEastAsia" w:hAnsi="Arial" w:cs="Arial"/>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7B2E45"/>
    <w:pPr>
      <w:tabs>
        <w:tab w:val="right" w:leader="dot" w:pos="9396"/>
      </w:tabs>
      <w:spacing w:after="100"/>
    </w:pPr>
  </w:style>
  <w:style w:type="character" w:styleId="Hyperlink">
    <w:name w:val="Hyperlink"/>
    <w:basedOn w:val="DefaultParagraphFont"/>
    <w:uiPriority w:val="99"/>
    <w:unhideWhenUsed/>
    <w:rsid w:val="007B2E45"/>
    <w:rPr>
      <w:color w:val="0000FF" w:themeColor="hyperlink"/>
      <w:u w:val="single"/>
    </w:rPr>
  </w:style>
  <w:style w:type="paragraph" w:styleId="NormalWeb">
    <w:name w:val="Normal (Web)"/>
    <w:basedOn w:val="Normal"/>
    <w:uiPriority w:val="99"/>
    <w:semiHidden/>
    <w:unhideWhenUsed/>
    <w:rsid w:val="002B61DF"/>
    <w:pPr>
      <w:spacing w:before="100" w:beforeAutospacing="1" w:after="100" w:afterAutospacing="1" w:line="240" w:lineRule="auto"/>
    </w:pPr>
    <w:rPr>
      <w:rFonts w:ascii="Times New Roman" w:eastAsia="Times New Roman" w:hAnsi="Times New Roman" w:cs="Times New Roman"/>
      <w:szCs w:val="24"/>
    </w:rPr>
  </w:style>
  <w:style w:type="paragraph" w:styleId="TableofFigures">
    <w:name w:val="table of figures"/>
    <w:basedOn w:val="Normal"/>
    <w:next w:val="Normal"/>
    <w:uiPriority w:val="99"/>
    <w:unhideWhenUsed/>
    <w:rsid w:val="002B61D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z.com/content/dam/anzcom/shareholder/2025-annual-report/anz-2025-annual-report.pdf" TargetMode="External"/><Relationship Id="rId18" Type="http://schemas.openxmlformats.org/officeDocument/2006/relationships/hyperlink" Target="https://www.digrin.com/stocks/detail/ANZ.AX/price" TargetMode="External"/><Relationship Id="rId26" Type="http://schemas.openxmlformats.org/officeDocument/2006/relationships/hyperlink" Target="https://www.reuters.com/business/finance/anz-group-cash-profit-jumps-17-q1-lower-costs-2026-02-11/" TargetMode="External"/><Relationship Id="rId3" Type="http://schemas.openxmlformats.org/officeDocument/2006/relationships/styles" Target="styles.xml"/><Relationship Id="rId21" Type="http://schemas.openxmlformats.org/officeDocument/2006/relationships/hyperlink" Target="https://www.rba.gov.au/publications/smp/2025/nov/overview.html" TargetMode="External"/><Relationship Id="rId7" Type="http://schemas.openxmlformats.org/officeDocument/2006/relationships/endnotes" Target="endnotes.xml"/><Relationship Id="rId12" Type="http://schemas.openxmlformats.org/officeDocument/2006/relationships/hyperlink" Target="https://www.abs.gov.au/statistics/economy/price-indexes-and-inflation/consumer-price-index-australia/dec-2025" TargetMode="External"/><Relationship Id="rId17" Type="http://schemas.openxmlformats.org/officeDocument/2006/relationships/hyperlink" Target="https://papers.ssrn.com/sol3/papers.cfm?abstract_id=5168609" TargetMode="External"/><Relationship Id="rId25" Type="http://schemas.openxmlformats.org/officeDocument/2006/relationships/hyperlink" Target="https://www.reuters.com/business/healthcare-pharmaceuticals/australias-csl-delays-vaccine-division-spin-off-amid-us-market-volatility-2025-10-2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vestors.csl.com/annualreport/2025/" TargetMode="External"/><Relationship Id="rId20" Type="http://schemas.openxmlformats.org/officeDocument/2006/relationships/hyperlink" Target="https://www.imf.org/en/publications/weo/issues/2025/10/14/world-economic-outlook-october-2025" TargetMode="External"/><Relationship Id="rId29" Type="http://schemas.openxmlformats.org/officeDocument/2006/relationships/hyperlink" Target="https://uk.finance.yahoo.com/quote/ANZ.AX/his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reuters.com/business/healthcare-pharmaceuticals/csl-axe-up-3000-employees-spin-off-vaccine-arm-shares-tumble-2025-08-1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pitalbrief.com/briefing/csl-downgrades-fy26-earnings-guidance-after-flagging-impairment-costs-62669ae9-fcf5-4854-affa-800674726311/" TargetMode="External"/><Relationship Id="rId23" Type="http://schemas.openxmlformats.org/officeDocument/2006/relationships/hyperlink" Target="https://www.reuters.com/business/finance/australias-anz-posts-lower-annual-profit-one-off-charge-margin-pressure-2025-11-09/" TargetMode="External"/><Relationship Id="rId28" Type="http://schemas.openxmlformats.org/officeDocument/2006/relationships/hyperlink" Target="https://stockanalysis.com/quote/asx/CSL/" TargetMode="External"/><Relationship Id="rId10" Type="http://schemas.openxmlformats.org/officeDocument/2006/relationships/image" Target="media/image1.png"/><Relationship Id="rId19" Type="http://schemas.openxmlformats.org/officeDocument/2006/relationships/hyperlink" Target="https://www.digrin.com/stocks/detail/CSL.AX/price"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udget.gov.au/content/myefo/index.htm" TargetMode="External"/><Relationship Id="rId22" Type="http://schemas.openxmlformats.org/officeDocument/2006/relationships/hyperlink" Target="https://www.rba.gov.au/publications/smp/2025/nov/outlook.html" TargetMode="External"/><Relationship Id="rId27" Type="http://schemas.openxmlformats.org/officeDocument/2006/relationships/hyperlink" Target="https://stockanalysis.com/quote/asx/ANZ/" TargetMode="External"/><Relationship Id="rId30" Type="http://schemas.openxmlformats.org/officeDocument/2006/relationships/hyperlink" Target="https://uk.finance.yahoo.com/quote/CSL.AX/history/"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4619</Words>
  <Characters>26333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Top-Down Fundamental Analysis and Optimal Two-Share Portfolio</dc:title>
  <dc:subject>Assessment 3 Individual Research Essay</dc:subject>
  <dc:creator/>
  <cp:keywords/>
  <dc:description/>
  <cp:lastModifiedBy>Dipesh Regmi</cp:lastModifiedBy>
  <cp:revision>35</cp:revision>
  <dcterms:created xsi:type="dcterms:W3CDTF">2013-12-23T23:15:00Z</dcterms:created>
  <dcterms:modified xsi:type="dcterms:W3CDTF">2026-05-12T18:46:00Z</dcterms:modified>
  <cp:category/>
</cp:coreProperties>
</file>