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62711" w14:textId="77777777" w:rsidR="00A44836" w:rsidRPr="00A44836" w:rsidRDefault="00A44836" w:rsidP="00A44836">
      <w:pPr>
        <w:spacing w:line="240" w:lineRule="auto"/>
        <w:rPr>
          <w:rFonts w:ascii="Calibri" w:eastAsia="Calibri" w:hAnsi="Calibri" w:cs="Times New Roman"/>
          <w:kern w:val="2"/>
          <w:szCs w:val="24"/>
          <w:lang w:val="en-GB"/>
          <w14:ligatures w14:val="standardContextual"/>
        </w:rPr>
      </w:pPr>
      <w:r w:rsidRPr="00A44836">
        <w:rPr>
          <w:rFonts w:ascii="Calibri" w:eastAsia="Calibri" w:hAnsi="Calibri" w:cs="Times New Roman"/>
          <w:noProof/>
          <w:kern w:val="2"/>
          <w:sz w:val="20"/>
          <w:szCs w:val="24"/>
          <w:lang w:val="en-GB"/>
          <w14:ligatures w14:val="standardContextual"/>
        </w:rPr>
        <w:drawing>
          <wp:inline distT="0" distB="0" distL="0" distR="0" wp14:anchorId="72B80655" wp14:editId="18D7E444">
            <wp:extent cx="3466769" cy="914364"/>
            <wp:effectExtent l="0" t="0" r="635" b="635"/>
            <wp:docPr id="200795099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3867318" cy="1020009"/>
                    </a:xfrm>
                    <a:prstGeom prst="rect">
                      <a:avLst/>
                    </a:prstGeom>
                  </pic:spPr>
                </pic:pic>
              </a:graphicData>
            </a:graphic>
          </wp:inline>
        </w:drawing>
      </w:r>
    </w:p>
    <w:p w14:paraId="7BB59309" w14:textId="77777777" w:rsidR="00A44836" w:rsidRPr="00A44836" w:rsidRDefault="00A44836" w:rsidP="00A44836">
      <w:pPr>
        <w:spacing w:line="240" w:lineRule="auto"/>
        <w:rPr>
          <w:rFonts w:ascii="Calibri" w:eastAsia="Calibri" w:hAnsi="Calibri" w:cs="Times New Roman"/>
          <w:kern w:val="2"/>
          <w:szCs w:val="24"/>
          <w:lang w:val="en-GB"/>
          <w14:ligatures w14:val="standardContextual"/>
        </w:rPr>
      </w:pPr>
    </w:p>
    <w:p w14:paraId="7FD6B4A1" w14:textId="77777777" w:rsidR="00A44836" w:rsidRPr="00A44836" w:rsidRDefault="00A44836" w:rsidP="00A44836">
      <w:pPr>
        <w:spacing w:line="240" w:lineRule="auto"/>
        <w:rPr>
          <w:rFonts w:ascii="Calibri" w:eastAsia="Calibri" w:hAnsi="Calibri" w:cs="Times New Roman"/>
          <w:kern w:val="2"/>
          <w:sz w:val="20"/>
          <w:szCs w:val="20"/>
          <w:lang w:val="en-GB"/>
          <w14:ligatures w14:val="standardContextual"/>
        </w:rPr>
      </w:pPr>
      <w:r w:rsidRPr="00A44836">
        <w:rPr>
          <w:rFonts w:ascii="Calibri" w:eastAsia="Calibri" w:hAnsi="Calibri" w:cs="Times New Roman"/>
          <w:i/>
          <w:iCs/>
          <w:kern w:val="2"/>
          <w:sz w:val="20"/>
          <w:szCs w:val="20"/>
          <w:lang w:val="en-GB"/>
          <w14:ligatures w14:val="standardContextual"/>
        </w:rPr>
        <w:t xml:space="preserve">Assignment Cover Sheet: </w:t>
      </w:r>
      <w:r w:rsidRPr="00A44836">
        <w:rPr>
          <w:rFonts w:ascii="Calibri" w:eastAsia="Calibri" w:hAnsi="Calibri" w:cs="Times New Roman"/>
          <w:kern w:val="2"/>
          <w:sz w:val="20"/>
          <w:szCs w:val="20"/>
          <w:lang w:val="en-GB"/>
          <w14:ligatures w14:val="standardContextual"/>
        </w:rPr>
        <w:t xml:space="preserve">Please attach this cover sheet to the front of </w:t>
      </w:r>
      <w:r w:rsidRPr="00A44836">
        <w:rPr>
          <w:rFonts w:ascii="Calibri" w:eastAsia="Calibri" w:hAnsi="Calibri" w:cs="Times New Roman"/>
          <w:b/>
          <w:bCs/>
          <w:kern w:val="2"/>
          <w:sz w:val="20"/>
          <w:szCs w:val="20"/>
          <w:lang w:val="en-GB"/>
          <w14:ligatures w14:val="standardContextual"/>
        </w:rPr>
        <w:t>every assignment</w:t>
      </w:r>
      <w:r w:rsidRPr="00A44836">
        <w:rPr>
          <w:rFonts w:ascii="Calibri" w:eastAsia="Calibri" w:hAnsi="Calibri" w:cs="Times New Roman"/>
          <w:kern w:val="2"/>
          <w:sz w:val="20"/>
          <w:szCs w:val="20"/>
          <w:lang w:val="en-GB"/>
          <w14:ligatures w14:val="standardContextual"/>
        </w:rPr>
        <w:t xml:space="preserve"> you submit to the university. Please be sure to </w:t>
      </w:r>
      <w:r w:rsidRPr="00A44836">
        <w:rPr>
          <w:rFonts w:ascii="Calibri" w:eastAsia="Calibri" w:hAnsi="Calibri" w:cs="Times New Roman"/>
          <w:b/>
          <w:bCs/>
          <w:kern w:val="2"/>
          <w:sz w:val="20"/>
          <w:szCs w:val="20"/>
          <w:lang w:val="en-GB"/>
          <w14:ligatures w14:val="standardContextual"/>
        </w:rPr>
        <w:t xml:space="preserve">sign the declarations below </w:t>
      </w:r>
      <w:r w:rsidRPr="00A44836">
        <w:rPr>
          <w:rFonts w:ascii="Calibri" w:eastAsia="Calibri" w:hAnsi="Calibri" w:cs="Times New Roman"/>
          <w:kern w:val="2"/>
          <w:sz w:val="20"/>
          <w:szCs w:val="20"/>
          <w:lang w:val="en-GB"/>
          <w14:ligatures w14:val="standardContextual"/>
        </w:rPr>
        <w:t>before you submit this sheet. Failure to sign the declarations may result in your work being unmarked.</w:t>
      </w:r>
    </w:p>
    <w:p w14:paraId="6ADC8823" w14:textId="77777777" w:rsidR="00A44836" w:rsidRPr="00A44836" w:rsidRDefault="00A44836" w:rsidP="00A44836">
      <w:pPr>
        <w:spacing w:line="240" w:lineRule="auto"/>
        <w:rPr>
          <w:rFonts w:ascii="Calibri" w:eastAsia="Calibri" w:hAnsi="Calibri" w:cs="Times New Roman"/>
          <w:i/>
          <w:iCs/>
          <w:kern w:val="2"/>
          <w:sz w:val="20"/>
          <w:szCs w:val="20"/>
          <w:lang w:val="en-GB"/>
          <w14:ligatures w14:val="standardContextual"/>
        </w:rPr>
      </w:pPr>
    </w:p>
    <w:tbl>
      <w:tblPr>
        <w:tblStyle w:val="TableGrid1"/>
        <w:tblW w:w="0" w:type="auto"/>
        <w:tblLook w:val="04A0" w:firstRow="1" w:lastRow="0" w:firstColumn="1" w:lastColumn="0" w:noHBand="0" w:noVBand="1"/>
      </w:tblPr>
      <w:tblGrid>
        <w:gridCol w:w="2122"/>
        <w:gridCol w:w="6894"/>
      </w:tblGrid>
      <w:tr w:rsidR="00A44836" w:rsidRPr="00A44836" w14:paraId="6408CE25" w14:textId="77777777" w:rsidTr="00A44836">
        <w:tc>
          <w:tcPr>
            <w:tcW w:w="2122" w:type="dxa"/>
            <w:shd w:val="clear" w:color="auto" w:fill="D9E2F3"/>
          </w:tcPr>
          <w:p w14:paraId="295F861A" w14:textId="77777777" w:rsidR="00A44836" w:rsidRPr="00A44836" w:rsidRDefault="00A44836" w:rsidP="00A44836">
            <w:pPr>
              <w:spacing w:line="240" w:lineRule="auto"/>
              <w:rPr>
                <w:rFonts w:ascii="Calibri" w:eastAsia="Calibri" w:hAnsi="Calibri" w:cs="Times New Roman"/>
                <w:b/>
                <w:bCs/>
                <w:sz w:val="20"/>
                <w:szCs w:val="20"/>
              </w:rPr>
            </w:pPr>
            <w:r w:rsidRPr="00A44836">
              <w:rPr>
                <w:rFonts w:ascii="Calibri" w:eastAsia="Calibri" w:hAnsi="Calibri" w:cs="Times New Roman"/>
                <w:b/>
                <w:bCs/>
                <w:sz w:val="20"/>
                <w:szCs w:val="20"/>
              </w:rPr>
              <w:t>Student Name</w:t>
            </w:r>
          </w:p>
        </w:tc>
        <w:tc>
          <w:tcPr>
            <w:tcW w:w="6894" w:type="dxa"/>
          </w:tcPr>
          <w:p w14:paraId="50A84FC3" w14:textId="77777777" w:rsidR="00A44836" w:rsidRPr="00A44836" w:rsidRDefault="00A44836" w:rsidP="00A44836">
            <w:pPr>
              <w:spacing w:line="240" w:lineRule="auto"/>
              <w:rPr>
                <w:rFonts w:ascii="Calibri" w:eastAsia="Calibri" w:hAnsi="Calibri" w:cs="Times New Roman"/>
                <w:sz w:val="20"/>
                <w:szCs w:val="20"/>
              </w:rPr>
            </w:pPr>
          </w:p>
        </w:tc>
      </w:tr>
      <w:tr w:rsidR="00A44836" w:rsidRPr="00A44836" w14:paraId="2FE26EEA" w14:textId="77777777" w:rsidTr="00A44836">
        <w:tc>
          <w:tcPr>
            <w:tcW w:w="2122" w:type="dxa"/>
            <w:shd w:val="clear" w:color="auto" w:fill="D9E2F3"/>
          </w:tcPr>
          <w:p w14:paraId="40D94745" w14:textId="77777777" w:rsidR="00A44836" w:rsidRPr="00A44836" w:rsidRDefault="00A44836" w:rsidP="00A44836">
            <w:pPr>
              <w:spacing w:line="240" w:lineRule="auto"/>
              <w:rPr>
                <w:rFonts w:ascii="Calibri" w:eastAsia="Calibri" w:hAnsi="Calibri" w:cs="Times New Roman"/>
                <w:b/>
                <w:bCs/>
                <w:sz w:val="20"/>
                <w:szCs w:val="20"/>
              </w:rPr>
            </w:pPr>
            <w:r w:rsidRPr="00A44836">
              <w:rPr>
                <w:rFonts w:ascii="Calibri" w:eastAsia="Calibri" w:hAnsi="Calibri" w:cs="Times New Roman"/>
                <w:b/>
                <w:bCs/>
                <w:sz w:val="20"/>
                <w:szCs w:val="20"/>
              </w:rPr>
              <w:t>Student ID</w:t>
            </w:r>
          </w:p>
        </w:tc>
        <w:tc>
          <w:tcPr>
            <w:tcW w:w="6894" w:type="dxa"/>
          </w:tcPr>
          <w:p w14:paraId="6A8FF622" w14:textId="77777777" w:rsidR="00A44836" w:rsidRPr="00A44836" w:rsidRDefault="00A44836" w:rsidP="00A44836">
            <w:pPr>
              <w:spacing w:line="240" w:lineRule="auto"/>
              <w:rPr>
                <w:rFonts w:ascii="Calibri" w:eastAsia="Calibri" w:hAnsi="Calibri" w:cs="Times New Roman"/>
                <w:sz w:val="20"/>
                <w:szCs w:val="20"/>
              </w:rPr>
            </w:pPr>
          </w:p>
        </w:tc>
      </w:tr>
      <w:tr w:rsidR="00A44836" w:rsidRPr="00A44836" w14:paraId="40DA87B1" w14:textId="77777777" w:rsidTr="00A44836">
        <w:tc>
          <w:tcPr>
            <w:tcW w:w="2122" w:type="dxa"/>
            <w:shd w:val="clear" w:color="auto" w:fill="D9E2F3"/>
          </w:tcPr>
          <w:p w14:paraId="1CC5C474" w14:textId="77777777" w:rsidR="00A44836" w:rsidRPr="00A44836" w:rsidRDefault="00A44836" w:rsidP="00A44836">
            <w:pPr>
              <w:spacing w:line="240" w:lineRule="auto"/>
              <w:rPr>
                <w:rFonts w:ascii="Calibri" w:eastAsia="Calibri" w:hAnsi="Calibri" w:cs="Times New Roman"/>
                <w:b/>
                <w:bCs/>
                <w:sz w:val="20"/>
                <w:szCs w:val="20"/>
              </w:rPr>
            </w:pPr>
            <w:r w:rsidRPr="00A44836">
              <w:rPr>
                <w:rFonts w:ascii="Calibri" w:eastAsia="Calibri" w:hAnsi="Calibri" w:cs="Times New Roman"/>
                <w:b/>
                <w:bCs/>
                <w:sz w:val="20"/>
                <w:szCs w:val="20"/>
              </w:rPr>
              <w:t>Course</w:t>
            </w:r>
          </w:p>
        </w:tc>
        <w:tc>
          <w:tcPr>
            <w:tcW w:w="6894" w:type="dxa"/>
          </w:tcPr>
          <w:p w14:paraId="6A0E4784" w14:textId="77777777" w:rsidR="00A44836" w:rsidRPr="00A44836" w:rsidRDefault="00A44836" w:rsidP="00A44836">
            <w:pPr>
              <w:spacing w:line="240" w:lineRule="auto"/>
              <w:rPr>
                <w:rFonts w:ascii="Calibri" w:eastAsia="Calibri" w:hAnsi="Calibri" w:cs="Times New Roman"/>
                <w:sz w:val="20"/>
                <w:szCs w:val="20"/>
              </w:rPr>
            </w:pPr>
            <w:r w:rsidRPr="00A44836">
              <w:rPr>
                <w:rFonts w:ascii="Calibri" w:eastAsia="Calibri" w:hAnsi="Calibri" w:cs="Times New Roman"/>
                <w:sz w:val="20"/>
                <w:szCs w:val="20"/>
              </w:rPr>
              <w:t>Business Management</w:t>
            </w:r>
          </w:p>
        </w:tc>
      </w:tr>
      <w:tr w:rsidR="00A44836" w:rsidRPr="00A44836" w14:paraId="46DAD2E6" w14:textId="77777777" w:rsidTr="00A44836">
        <w:tc>
          <w:tcPr>
            <w:tcW w:w="2122" w:type="dxa"/>
            <w:shd w:val="clear" w:color="auto" w:fill="D9E2F3"/>
          </w:tcPr>
          <w:p w14:paraId="1A946AFE" w14:textId="77777777" w:rsidR="00A44836" w:rsidRPr="00A44836" w:rsidRDefault="00A44836" w:rsidP="00A44836">
            <w:pPr>
              <w:spacing w:line="240" w:lineRule="auto"/>
              <w:rPr>
                <w:rFonts w:ascii="Calibri" w:eastAsia="Calibri" w:hAnsi="Calibri" w:cs="Times New Roman"/>
                <w:b/>
                <w:bCs/>
                <w:sz w:val="20"/>
                <w:szCs w:val="20"/>
              </w:rPr>
            </w:pPr>
            <w:r w:rsidRPr="00A44836">
              <w:rPr>
                <w:rFonts w:ascii="Calibri" w:eastAsia="Calibri" w:hAnsi="Calibri" w:cs="Times New Roman"/>
                <w:b/>
                <w:bCs/>
                <w:sz w:val="20"/>
                <w:szCs w:val="20"/>
              </w:rPr>
              <w:t>Module Name &amp; Code</w:t>
            </w:r>
          </w:p>
        </w:tc>
        <w:tc>
          <w:tcPr>
            <w:tcW w:w="6894" w:type="dxa"/>
          </w:tcPr>
          <w:p w14:paraId="4AD95602" w14:textId="77777777" w:rsidR="00A44836" w:rsidRPr="00A44836" w:rsidRDefault="00A44836" w:rsidP="00A44836">
            <w:pPr>
              <w:spacing w:line="240" w:lineRule="auto"/>
              <w:rPr>
                <w:rFonts w:ascii="Calibri" w:eastAsia="Calibri" w:hAnsi="Calibri" w:cs="Times New Roman"/>
                <w:sz w:val="20"/>
                <w:szCs w:val="20"/>
              </w:rPr>
            </w:pPr>
            <w:r w:rsidRPr="00A44836">
              <w:rPr>
                <w:rFonts w:ascii="Calibri" w:eastAsia="Calibri" w:hAnsi="Calibri" w:cs="Times New Roman"/>
                <w:sz w:val="20"/>
                <w:szCs w:val="20"/>
              </w:rPr>
              <w:t>BSM22102 Business Finance</w:t>
            </w:r>
          </w:p>
          <w:p w14:paraId="0EC56C5D" w14:textId="77777777" w:rsidR="00A44836" w:rsidRPr="00A44836" w:rsidRDefault="00A44836" w:rsidP="00A44836">
            <w:pPr>
              <w:spacing w:line="240" w:lineRule="auto"/>
              <w:rPr>
                <w:rFonts w:ascii="Calibri" w:eastAsia="Calibri" w:hAnsi="Calibri" w:cs="Times New Roman"/>
                <w:sz w:val="20"/>
                <w:szCs w:val="20"/>
              </w:rPr>
            </w:pPr>
          </w:p>
        </w:tc>
      </w:tr>
      <w:tr w:rsidR="00A44836" w:rsidRPr="00A44836" w14:paraId="3EE93E74" w14:textId="77777777" w:rsidTr="00A44836">
        <w:tc>
          <w:tcPr>
            <w:tcW w:w="2122" w:type="dxa"/>
            <w:shd w:val="clear" w:color="auto" w:fill="D9E2F3"/>
          </w:tcPr>
          <w:p w14:paraId="53D99459" w14:textId="77777777" w:rsidR="00A44836" w:rsidRPr="00A44836" w:rsidRDefault="00A44836" w:rsidP="00A44836">
            <w:pPr>
              <w:spacing w:line="240" w:lineRule="auto"/>
              <w:rPr>
                <w:rFonts w:ascii="Calibri" w:eastAsia="Calibri" w:hAnsi="Calibri" w:cs="Times New Roman"/>
                <w:b/>
                <w:bCs/>
                <w:sz w:val="20"/>
                <w:szCs w:val="20"/>
              </w:rPr>
            </w:pPr>
            <w:r w:rsidRPr="00A44836">
              <w:rPr>
                <w:rFonts w:ascii="Calibri" w:eastAsia="Calibri" w:hAnsi="Calibri" w:cs="Times New Roman"/>
                <w:b/>
                <w:bCs/>
                <w:sz w:val="20"/>
                <w:szCs w:val="20"/>
              </w:rPr>
              <w:t>Assignment Name &amp; No.</w:t>
            </w:r>
          </w:p>
        </w:tc>
        <w:tc>
          <w:tcPr>
            <w:tcW w:w="6894" w:type="dxa"/>
          </w:tcPr>
          <w:p w14:paraId="5D1D0F85" w14:textId="77777777" w:rsidR="00A44836" w:rsidRPr="00A44836" w:rsidRDefault="00A44836" w:rsidP="00A44836">
            <w:pPr>
              <w:spacing w:line="240" w:lineRule="auto"/>
              <w:rPr>
                <w:rFonts w:ascii="Calibri" w:eastAsia="Calibri" w:hAnsi="Calibri" w:cs="Times New Roman"/>
                <w:sz w:val="20"/>
                <w:szCs w:val="20"/>
              </w:rPr>
            </w:pPr>
          </w:p>
        </w:tc>
      </w:tr>
    </w:tbl>
    <w:p w14:paraId="150DB984" w14:textId="77777777" w:rsidR="00A44836" w:rsidRPr="00A44836" w:rsidRDefault="00A44836" w:rsidP="00A44836">
      <w:pPr>
        <w:spacing w:line="240" w:lineRule="auto"/>
        <w:rPr>
          <w:rFonts w:ascii="Calibri" w:eastAsia="Calibri" w:hAnsi="Calibri" w:cs="Times New Roman"/>
          <w:kern w:val="2"/>
          <w:szCs w:val="24"/>
          <w:lang w:val="en-GB"/>
          <w14:ligatures w14:val="standardContextual"/>
        </w:rPr>
      </w:pPr>
    </w:p>
    <w:p w14:paraId="4A92BA78" w14:textId="77777777" w:rsidR="00A44836" w:rsidRPr="00A44836" w:rsidRDefault="00A44836" w:rsidP="00A44836">
      <w:pPr>
        <w:spacing w:line="240" w:lineRule="auto"/>
        <w:rPr>
          <w:rFonts w:ascii="Calibri" w:eastAsia="Calibri" w:hAnsi="Calibri" w:cs="Times New Roman"/>
          <w:b/>
          <w:bCs/>
          <w:kern w:val="2"/>
          <w:sz w:val="20"/>
          <w:szCs w:val="20"/>
          <w:lang w:val="en-GB"/>
          <w14:ligatures w14:val="standardContextual"/>
        </w:rPr>
      </w:pPr>
      <w:r w:rsidRPr="00A44836">
        <w:rPr>
          <w:rFonts w:ascii="Calibri" w:eastAsia="Calibri" w:hAnsi="Calibri" w:cs="Times New Roman"/>
          <w:b/>
          <w:bCs/>
          <w:kern w:val="2"/>
          <w:sz w:val="20"/>
          <w:szCs w:val="20"/>
          <w:lang w:val="en-GB"/>
          <w14:ligatures w14:val="standardContextual"/>
        </w:rPr>
        <w:t>Declaration:</w:t>
      </w:r>
    </w:p>
    <w:p w14:paraId="7A086C4D" w14:textId="77777777" w:rsidR="00A44836" w:rsidRPr="00A44836" w:rsidRDefault="00A44836" w:rsidP="00A44836">
      <w:pPr>
        <w:spacing w:line="240" w:lineRule="auto"/>
        <w:rPr>
          <w:rFonts w:ascii="Calibri" w:eastAsia="Calibri" w:hAnsi="Calibri" w:cs="Times New Roman"/>
          <w:kern w:val="2"/>
          <w:szCs w:val="24"/>
          <w:lang w:val="en-GB"/>
          <w14:ligatures w14:val="standardContextual"/>
        </w:rPr>
      </w:pPr>
    </w:p>
    <w:p w14:paraId="302FB697" w14:textId="77777777" w:rsidR="00A44836" w:rsidRPr="00A44836" w:rsidRDefault="00A44836" w:rsidP="00A44836">
      <w:pPr>
        <w:spacing w:line="240" w:lineRule="auto"/>
        <w:jc w:val="both"/>
        <w:rPr>
          <w:rFonts w:ascii="Calibri" w:eastAsia="Calibri" w:hAnsi="Calibri" w:cs="Times New Roman"/>
          <w:kern w:val="2"/>
          <w:sz w:val="20"/>
          <w:szCs w:val="20"/>
          <w:lang w:val="en-GB"/>
          <w14:ligatures w14:val="standardContextual"/>
        </w:rPr>
      </w:pPr>
      <w:r w:rsidRPr="00A44836">
        <w:rPr>
          <w:rFonts w:ascii="Calibri" w:eastAsia="Calibri" w:hAnsi="Calibri" w:cs="Times New Roman"/>
          <w:kern w:val="2"/>
          <w:sz w:val="20"/>
          <w:szCs w:val="20"/>
          <w:lang w:val="en-GB"/>
          <w14:ligatures w14:val="standardContextual"/>
        </w:rPr>
        <w:t xml:space="preserve">I have complied with </w:t>
      </w:r>
      <w:hyperlink r:id="rId9" w:history="1">
        <w:r w:rsidRPr="00A44836">
          <w:rPr>
            <w:rFonts w:ascii="Calibri" w:eastAsia="Calibri" w:hAnsi="Calibri" w:cs="Times New Roman"/>
            <w:color w:val="0563C1"/>
            <w:kern w:val="2"/>
            <w:sz w:val="20"/>
            <w:szCs w:val="20"/>
            <w:u w:val="single"/>
            <w:lang w:val="en-GB"/>
            <w14:ligatures w14:val="standardContextual"/>
          </w:rPr>
          <w:t>Ravensbourne University’s Academic Regulations</w:t>
        </w:r>
      </w:hyperlink>
      <w:r w:rsidRPr="00A44836">
        <w:rPr>
          <w:rFonts w:ascii="Calibri" w:eastAsia="Calibri" w:hAnsi="Calibri" w:cs="Times New Roman"/>
          <w:kern w:val="2"/>
          <w:sz w:val="20"/>
          <w:szCs w:val="20"/>
          <w:lang w:val="en-GB"/>
          <w14:ligatures w14:val="standardContextual"/>
        </w:rPr>
        <w:t xml:space="preserve"> and have</w:t>
      </w:r>
      <w:r w:rsidRPr="00A44836">
        <w:rPr>
          <w:rFonts w:ascii="Calibri" w:eastAsia="Calibri" w:hAnsi="Calibri" w:cs="Times New Roman"/>
          <w:b/>
          <w:bCs/>
          <w:kern w:val="2"/>
          <w:sz w:val="20"/>
          <w:szCs w:val="20"/>
          <w:lang w:val="en-GB"/>
          <w14:ligatures w14:val="standardContextual"/>
        </w:rPr>
        <w:t xml:space="preserve"> acknowledged </w:t>
      </w:r>
      <w:r w:rsidRPr="00A44836">
        <w:rPr>
          <w:rFonts w:ascii="Calibri" w:eastAsia="Calibri" w:hAnsi="Calibri" w:cs="Times New Roman"/>
          <w:kern w:val="2"/>
          <w:sz w:val="20"/>
          <w:szCs w:val="20"/>
          <w:lang w:val="en-GB"/>
          <w14:ligatures w14:val="standardContextual"/>
        </w:rPr>
        <w:t xml:space="preserve">the work and ideas of others that I have used in the production of this assignment.   </w:t>
      </w:r>
    </w:p>
    <w:p w14:paraId="317C98FF" w14:textId="77777777" w:rsidR="00A44836" w:rsidRPr="00A44836" w:rsidRDefault="00A44836" w:rsidP="00A44836">
      <w:pPr>
        <w:spacing w:line="240" w:lineRule="auto"/>
        <w:rPr>
          <w:rFonts w:ascii="Calibri" w:eastAsia="Calibri" w:hAnsi="Calibri" w:cs="Calibri"/>
          <w:kern w:val="2"/>
          <w:sz w:val="20"/>
          <w:szCs w:val="20"/>
          <w:lang w:val="en-GB"/>
          <w14:ligatures w14:val="standardContextual"/>
        </w:rPr>
      </w:pPr>
    </w:p>
    <w:p w14:paraId="140635D2" w14:textId="77777777" w:rsidR="00A44836" w:rsidRPr="00A44836" w:rsidRDefault="00A44836" w:rsidP="00A44836">
      <w:pPr>
        <w:spacing w:after="100" w:afterAutospacing="1" w:line="240" w:lineRule="auto"/>
        <w:rPr>
          <w:rFonts w:ascii="Calibri" w:hAnsi="Calibri" w:cs="Calibri"/>
          <w:color w:val="000000"/>
          <w:sz w:val="20"/>
          <w:szCs w:val="20"/>
          <w:lang w:val="en-GB" w:eastAsia="en-GB"/>
        </w:rPr>
      </w:pPr>
      <w:r w:rsidRPr="00A44836">
        <w:rPr>
          <w:rFonts w:ascii="Calibri" w:hAnsi="Calibri" w:cs="Calibri"/>
          <w:color w:val="000000"/>
          <w:sz w:val="20"/>
          <w:szCs w:val="20"/>
          <w:lang w:val="en-GB" w:eastAsia="en-GB"/>
        </w:rPr>
        <w:t>Signed: ____________________________ </w:t>
      </w:r>
    </w:p>
    <w:p w14:paraId="4D4B8232" w14:textId="77777777" w:rsidR="00A44836" w:rsidRPr="00A44836" w:rsidRDefault="00A44836" w:rsidP="00A44836">
      <w:pPr>
        <w:spacing w:line="240" w:lineRule="auto"/>
        <w:rPr>
          <w:rFonts w:ascii="Calibri" w:eastAsia="Calibri" w:hAnsi="Calibri" w:cs="Calibri"/>
          <w:kern w:val="2"/>
          <w:sz w:val="20"/>
          <w:szCs w:val="20"/>
          <w:lang w:val="en-GB"/>
          <w14:ligatures w14:val="standardContextual"/>
        </w:rPr>
      </w:pPr>
    </w:p>
    <w:p w14:paraId="64CE87E3" w14:textId="77777777" w:rsidR="00A44836" w:rsidRPr="00A44836" w:rsidRDefault="00A44836" w:rsidP="00A44836">
      <w:pPr>
        <w:spacing w:after="100" w:afterAutospacing="1" w:line="240" w:lineRule="auto"/>
        <w:rPr>
          <w:rFonts w:ascii="Calibri" w:hAnsi="Calibri" w:cs="Calibri"/>
          <w:color w:val="000000"/>
          <w:sz w:val="20"/>
          <w:szCs w:val="20"/>
          <w:lang w:val="en-GB" w:eastAsia="en-GB"/>
        </w:rPr>
      </w:pPr>
      <w:r w:rsidRPr="00A44836">
        <w:rPr>
          <w:rFonts w:ascii="Calibri" w:hAnsi="Calibri" w:cs="Calibri"/>
          <w:color w:val="000000"/>
          <w:sz w:val="20"/>
          <w:szCs w:val="20"/>
          <w:lang w:val="en-GB" w:eastAsia="en-GB"/>
        </w:rPr>
        <w:t xml:space="preserve">I have read the Business Management course statement on AI and can confirm that </w:t>
      </w:r>
      <w:r w:rsidRPr="00A44836">
        <w:rPr>
          <w:rFonts w:ascii="Calibri" w:hAnsi="Calibri" w:cs="Calibri"/>
          <w:b/>
          <w:bCs/>
          <w:color w:val="000000"/>
          <w:sz w:val="20"/>
          <w:szCs w:val="20"/>
          <w:lang w:val="en-GB" w:eastAsia="en-GB"/>
        </w:rPr>
        <w:t xml:space="preserve">I have </w:t>
      </w:r>
      <w:r w:rsidRPr="00A44836">
        <w:rPr>
          <w:rFonts w:ascii="Calibri" w:hAnsi="Calibri" w:cs="Calibri"/>
          <w:b/>
          <w:bCs/>
          <w:color w:val="000000"/>
          <w:sz w:val="20"/>
          <w:szCs w:val="20"/>
          <w:u w:val="single"/>
          <w:lang w:val="en-GB" w:eastAsia="en-GB"/>
        </w:rPr>
        <w:t xml:space="preserve">not </w:t>
      </w:r>
      <w:r w:rsidRPr="00A44836">
        <w:rPr>
          <w:rFonts w:ascii="Calibri" w:hAnsi="Calibri" w:cs="Calibri"/>
          <w:b/>
          <w:bCs/>
          <w:color w:val="000000"/>
          <w:sz w:val="20"/>
          <w:szCs w:val="20"/>
          <w:lang w:val="en-GB" w:eastAsia="en-GB"/>
        </w:rPr>
        <w:t>used</w:t>
      </w:r>
      <w:r w:rsidRPr="00A44836">
        <w:rPr>
          <w:rFonts w:ascii="Calibri" w:hAnsi="Calibri" w:cs="Calibri"/>
          <w:color w:val="000000"/>
          <w:sz w:val="20"/>
          <w:szCs w:val="20"/>
          <w:lang w:val="en-GB" w:eastAsia="en-GB"/>
        </w:rPr>
        <w:t xml:space="preserve"> AI/LLM technologies in the production of this assignment: </w:t>
      </w:r>
    </w:p>
    <w:p w14:paraId="623FF37E" w14:textId="77777777" w:rsidR="00A44836" w:rsidRPr="00A44836" w:rsidRDefault="00A44836" w:rsidP="00A44836">
      <w:pPr>
        <w:spacing w:before="100" w:beforeAutospacing="1" w:after="100" w:afterAutospacing="1" w:line="240" w:lineRule="auto"/>
        <w:rPr>
          <w:rFonts w:ascii="Calibri" w:hAnsi="Calibri" w:cs="Calibri"/>
          <w:color w:val="000000"/>
          <w:sz w:val="20"/>
          <w:szCs w:val="20"/>
          <w:lang w:val="en-GB" w:eastAsia="en-GB"/>
        </w:rPr>
      </w:pPr>
      <w:r w:rsidRPr="00A44836">
        <w:rPr>
          <w:rFonts w:ascii="Calibri" w:hAnsi="Calibri" w:cs="Calibri"/>
          <w:color w:val="000000"/>
          <w:sz w:val="20"/>
          <w:szCs w:val="20"/>
          <w:lang w:val="en-GB" w:eastAsia="en-GB"/>
        </w:rPr>
        <w:t>Signed: ____________________________ </w:t>
      </w:r>
    </w:p>
    <w:p w14:paraId="4A6D156B" w14:textId="77777777" w:rsidR="00A44836" w:rsidRPr="00A44836" w:rsidRDefault="00A44836" w:rsidP="00A44836">
      <w:pPr>
        <w:spacing w:before="100" w:beforeAutospacing="1" w:after="100" w:afterAutospacing="1" w:line="240" w:lineRule="auto"/>
        <w:rPr>
          <w:rFonts w:ascii="Calibri" w:hAnsi="Calibri" w:cs="Calibri"/>
          <w:color w:val="000000"/>
          <w:sz w:val="20"/>
          <w:szCs w:val="20"/>
          <w:lang w:val="en-GB" w:eastAsia="en-GB"/>
        </w:rPr>
      </w:pPr>
      <w:r w:rsidRPr="00A44836">
        <w:rPr>
          <w:rFonts w:ascii="Calibri" w:hAnsi="Calibri" w:cs="Calibri"/>
          <w:color w:val="000000"/>
          <w:sz w:val="20"/>
          <w:szCs w:val="20"/>
          <w:lang w:val="en-GB" w:eastAsia="en-GB"/>
        </w:rPr>
        <w:t xml:space="preserve">I have read the Business Management course statement on AI and can confirm that </w:t>
      </w:r>
      <w:r w:rsidRPr="00A44836">
        <w:rPr>
          <w:rFonts w:ascii="Calibri" w:hAnsi="Calibri" w:cs="Calibri"/>
          <w:b/>
          <w:bCs/>
          <w:color w:val="000000"/>
          <w:sz w:val="20"/>
          <w:szCs w:val="20"/>
          <w:lang w:val="en-GB" w:eastAsia="en-GB"/>
        </w:rPr>
        <w:t>I have used</w:t>
      </w:r>
      <w:r w:rsidRPr="00A44836">
        <w:rPr>
          <w:rFonts w:ascii="Calibri" w:hAnsi="Calibri" w:cs="Calibri"/>
          <w:color w:val="000000"/>
          <w:sz w:val="20"/>
          <w:szCs w:val="20"/>
          <w:lang w:val="en-GB" w:eastAsia="en-GB"/>
        </w:rPr>
        <w:t xml:space="preserve"> AI/LLM technologies in the production of this assignment [complete the boxes below]: </w:t>
      </w:r>
    </w:p>
    <w:p w14:paraId="55DB923F" w14:textId="77777777" w:rsidR="00A44836" w:rsidRPr="00A44836" w:rsidRDefault="00A44836" w:rsidP="00A44836">
      <w:pPr>
        <w:spacing w:before="100" w:beforeAutospacing="1" w:after="100" w:afterAutospacing="1" w:line="240" w:lineRule="auto"/>
        <w:rPr>
          <w:rFonts w:ascii="Calibri" w:hAnsi="Calibri" w:cs="Calibri"/>
          <w:color w:val="000000"/>
          <w:sz w:val="20"/>
          <w:szCs w:val="20"/>
          <w:lang w:val="en-GB" w:eastAsia="en-GB"/>
        </w:rPr>
      </w:pPr>
      <w:r w:rsidRPr="00A44836">
        <w:rPr>
          <w:rFonts w:ascii="Calibri" w:hAnsi="Calibri" w:cs="Calibri"/>
          <w:color w:val="000000"/>
          <w:sz w:val="20"/>
          <w:szCs w:val="20"/>
          <w:lang w:val="en-GB" w:eastAsia="en-GB"/>
        </w:rPr>
        <w:t>Signed: ____________________________ </w:t>
      </w:r>
    </w:p>
    <w:tbl>
      <w:tblPr>
        <w:tblStyle w:val="TableGrid1"/>
        <w:tblW w:w="0" w:type="auto"/>
        <w:tblLook w:val="04A0" w:firstRow="1" w:lastRow="0" w:firstColumn="1" w:lastColumn="0" w:noHBand="0" w:noVBand="1"/>
      </w:tblPr>
      <w:tblGrid>
        <w:gridCol w:w="2122"/>
        <w:gridCol w:w="6894"/>
      </w:tblGrid>
      <w:tr w:rsidR="00A44836" w:rsidRPr="00A44836" w14:paraId="27814059" w14:textId="77777777" w:rsidTr="009911E6">
        <w:tc>
          <w:tcPr>
            <w:tcW w:w="2122" w:type="dxa"/>
          </w:tcPr>
          <w:p w14:paraId="638655B3" w14:textId="77777777" w:rsidR="00A44836" w:rsidRPr="00A44836" w:rsidRDefault="00A44836" w:rsidP="00A44836">
            <w:pPr>
              <w:spacing w:line="240" w:lineRule="auto"/>
              <w:rPr>
                <w:rFonts w:ascii="Calibri" w:eastAsia="Calibri" w:hAnsi="Calibri" w:cs="Calibri"/>
                <w:b/>
                <w:bCs/>
                <w:sz w:val="20"/>
                <w:szCs w:val="20"/>
              </w:rPr>
            </w:pPr>
            <w:r w:rsidRPr="00A44836">
              <w:rPr>
                <w:rFonts w:ascii="Calibri" w:eastAsia="Calibri" w:hAnsi="Calibri" w:cs="Calibri"/>
                <w:b/>
                <w:bCs/>
                <w:sz w:val="20"/>
                <w:szCs w:val="20"/>
              </w:rPr>
              <w:t>Software used and publisher:</w:t>
            </w:r>
          </w:p>
          <w:p w14:paraId="33929390" w14:textId="77777777" w:rsidR="00A44836" w:rsidRPr="00A44836" w:rsidRDefault="00A44836" w:rsidP="00A44836">
            <w:pPr>
              <w:spacing w:line="240" w:lineRule="auto"/>
              <w:rPr>
                <w:rFonts w:ascii="Calibri" w:eastAsia="Calibri" w:hAnsi="Calibri" w:cs="Calibri"/>
                <w:sz w:val="20"/>
                <w:szCs w:val="20"/>
              </w:rPr>
            </w:pPr>
            <w:r w:rsidRPr="00A44836">
              <w:rPr>
                <w:rFonts w:ascii="Calibri" w:eastAsia="Calibri" w:hAnsi="Calibri" w:cs="Calibri"/>
                <w:sz w:val="20"/>
                <w:szCs w:val="20"/>
              </w:rPr>
              <w:t>e.g., ChatGPT4/Canva Magic Studio</w:t>
            </w:r>
          </w:p>
          <w:p w14:paraId="1933C57F" w14:textId="77777777" w:rsidR="00A44836" w:rsidRPr="00A44836" w:rsidRDefault="00A44836" w:rsidP="00A44836">
            <w:pPr>
              <w:spacing w:line="240" w:lineRule="auto"/>
              <w:rPr>
                <w:rFonts w:ascii="Calibri" w:eastAsia="Calibri" w:hAnsi="Calibri" w:cs="Calibri"/>
                <w:sz w:val="20"/>
                <w:szCs w:val="20"/>
              </w:rPr>
            </w:pPr>
            <w:r w:rsidRPr="00A44836">
              <w:rPr>
                <w:rFonts w:ascii="Calibri" w:eastAsia="Calibri" w:hAnsi="Calibri" w:cs="Calibri"/>
                <w:sz w:val="20"/>
                <w:szCs w:val="20"/>
              </w:rPr>
              <w:t>Grammarly</w:t>
            </w:r>
          </w:p>
        </w:tc>
        <w:tc>
          <w:tcPr>
            <w:tcW w:w="6894" w:type="dxa"/>
          </w:tcPr>
          <w:p w14:paraId="722C45DE" w14:textId="77777777" w:rsidR="00A44836" w:rsidRPr="00A44836" w:rsidRDefault="00A44836" w:rsidP="00A44836">
            <w:pPr>
              <w:spacing w:line="240" w:lineRule="auto"/>
              <w:rPr>
                <w:rFonts w:ascii="Calibri" w:eastAsia="Calibri" w:hAnsi="Calibri" w:cs="Calibri"/>
                <w:sz w:val="20"/>
                <w:szCs w:val="20"/>
              </w:rPr>
            </w:pPr>
          </w:p>
        </w:tc>
      </w:tr>
      <w:tr w:rsidR="00A44836" w:rsidRPr="00A44836" w14:paraId="74AB85AC" w14:textId="77777777" w:rsidTr="009911E6">
        <w:tc>
          <w:tcPr>
            <w:tcW w:w="2122" w:type="dxa"/>
          </w:tcPr>
          <w:p w14:paraId="248E62FC" w14:textId="77777777" w:rsidR="00A44836" w:rsidRPr="00A44836" w:rsidRDefault="00A44836" w:rsidP="00A44836">
            <w:pPr>
              <w:spacing w:line="240" w:lineRule="auto"/>
              <w:rPr>
                <w:rFonts w:ascii="Calibri" w:eastAsia="Calibri" w:hAnsi="Calibri" w:cs="Calibri"/>
                <w:b/>
                <w:bCs/>
                <w:sz w:val="20"/>
                <w:szCs w:val="20"/>
              </w:rPr>
            </w:pPr>
            <w:r w:rsidRPr="00A44836">
              <w:rPr>
                <w:rFonts w:ascii="Calibri" w:eastAsia="Calibri" w:hAnsi="Calibri" w:cs="Calibri"/>
                <w:b/>
                <w:bCs/>
                <w:sz w:val="20"/>
                <w:szCs w:val="20"/>
              </w:rPr>
              <w:t>Links to the AI tools you used</w:t>
            </w:r>
          </w:p>
        </w:tc>
        <w:tc>
          <w:tcPr>
            <w:tcW w:w="6894" w:type="dxa"/>
          </w:tcPr>
          <w:p w14:paraId="0578306C" w14:textId="77777777" w:rsidR="00A44836" w:rsidRPr="00A44836" w:rsidRDefault="00A44836" w:rsidP="00A44836">
            <w:pPr>
              <w:spacing w:line="240" w:lineRule="auto"/>
              <w:rPr>
                <w:rFonts w:ascii="Calibri" w:eastAsia="Calibri" w:hAnsi="Calibri" w:cs="Calibri"/>
                <w:sz w:val="20"/>
                <w:szCs w:val="20"/>
              </w:rPr>
            </w:pPr>
          </w:p>
          <w:p w14:paraId="6EE64EA9" w14:textId="77777777" w:rsidR="00A44836" w:rsidRPr="00A44836" w:rsidRDefault="00A44836" w:rsidP="00A44836">
            <w:pPr>
              <w:spacing w:line="240" w:lineRule="auto"/>
              <w:rPr>
                <w:rFonts w:ascii="Calibri" w:eastAsia="Calibri" w:hAnsi="Calibri" w:cs="Calibri"/>
                <w:sz w:val="20"/>
                <w:szCs w:val="20"/>
              </w:rPr>
            </w:pPr>
          </w:p>
          <w:p w14:paraId="1464A8C7" w14:textId="77777777" w:rsidR="00A44836" w:rsidRPr="00A44836" w:rsidRDefault="00A44836" w:rsidP="00A44836">
            <w:pPr>
              <w:spacing w:line="240" w:lineRule="auto"/>
              <w:rPr>
                <w:rFonts w:ascii="Calibri" w:eastAsia="Calibri" w:hAnsi="Calibri" w:cs="Calibri"/>
                <w:sz w:val="20"/>
                <w:szCs w:val="20"/>
              </w:rPr>
            </w:pPr>
          </w:p>
        </w:tc>
      </w:tr>
      <w:tr w:rsidR="00A44836" w:rsidRPr="00A44836" w14:paraId="00AA5B7F" w14:textId="77777777" w:rsidTr="009911E6">
        <w:trPr>
          <w:trHeight w:val="558"/>
        </w:trPr>
        <w:tc>
          <w:tcPr>
            <w:tcW w:w="2122" w:type="dxa"/>
          </w:tcPr>
          <w:p w14:paraId="73341E34" w14:textId="77777777" w:rsidR="00A44836" w:rsidRPr="00A44836" w:rsidRDefault="00A44836" w:rsidP="00A44836">
            <w:pPr>
              <w:spacing w:line="240" w:lineRule="auto"/>
              <w:rPr>
                <w:rFonts w:ascii="Calibri" w:eastAsia="Calibri" w:hAnsi="Calibri" w:cs="Calibri"/>
                <w:sz w:val="20"/>
                <w:szCs w:val="20"/>
              </w:rPr>
            </w:pPr>
            <w:r w:rsidRPr="00A44836">
              <w:rPr>
                <w:rFonts w:ascii="Calibri" w:eastAsia="Calibri" w:hAnsi="Calibri" w:cs="Calibri"/>
                <w:b/>
                <w:bCs/>
                <w:sz w:val="20"/>
                <w:szCs w:val="20"/>
              </w:rPr>
              <w:t xml:space="preserve">Description and rationale for the use of AI software </w:t>
            </w:r>
            <w:r w:rsidRPr="00A44836">
              <w:rPr>
                <w:rFonts w:ascii="Calibri" w:eastAsia="Calibri" w:hAnsi="Calibri" w:cs="Calibri"/>
                <w:sz w:val="20"/>
                <w:szCs w:val="20"/>
              </w:rPr>
              <w:t>(add evidence where appropriate).</w:t>
            </w:r>
          </w:p>
          <w:p w14:paraId="3177A182" w14:textId="77777777" w:rsidR="00A44836" w:rsidRPr="00A44836" w:rsidRDefault="00A44836" w:rsidP="00A44836">
            <w:pPr>
              <w:spacing w:line="240" w:lineRule="auto"/>
              <w:rPr>
                <w:rFonts w:ascii="Calibri" w:eastAsia="Calibri" w:hAnsi="Calibri" w:cs="Calibri"/>
                <w:sz w:val="20"/>
                <w:szCs w:val="20"/>
              </w:rPr>
            </w:pPr>
          </w:p>
        </w:tc>
        <w:tc>
          <w:tcPr>
            <w:tcW w:w="6894" w:type="dxa"/>
          </w:tcPr>
          <w:p w14:paraId="557BD25D" w14:textId="77777777" w:rsidR="00A44836" w:rsidRPr="00A44836" w:rsidRDefault="00A44836" w:rsidP="00A44836">
            <w:pPr>
              <w:spacing w:line="240" w:lineRule="auto"/>
              <w:rPr>
                <w:rFonts w:ascii="Calibri" w:eastAsia="Calibri" w:hAnsi="Calibri" w:cs="Calibri"/>
                <w:sz w:val="20"/>
                <w:szCs w:val="20"/>
              </w:rPr>
            </w:pPr>
          </w:p>
          <w:p w14:paraId="0A422755" w14:textId="77777777" w:rsidR="00A44836" w:rsidRPr="00A44836" w:rsidRDefault="00A44836" w:rsidP="00A44836">
            <w:pPr>
              <w:spacing w:line="240" w:lineRule="auto"/>
              <w:rPr>
                <w:rFonts w:ascii="Calibri" w:eastAsia="Calibri" w:hAnsi="Calibri" w:cs="Calibri"/>
                <w:sz w:val="20"/>
                <w:szCs w:val="20"/>
              </w:rPr>
            </w:pPr>
          </w:p>
          <w:p w14:paraId="26EBB0C9" w14:textId="77777777" w:rsidR="00A44836" w:rsidRPr="00A44836" w:rsidRDefault="00A44836" w:rsidP="00A44836">
            <w:pPr>
              <w:spacing w:line="240" w:lineRule="auto"/>
              <w:rPr>
                <w:rFonts w:ascii="Calibri" w:eastAsia="Calibri" w:hAnsi="Calibri" w:cs="Calibri"/>
                <w:sz w:val="20"/>
                <w:szCs w:val="20"/>
              </w:rPr>
            </w:pPr>
          </w:p>
          <w:p w14:paraId="3AE9DEBE" w14:textId="77777777" w:rsidR="00A44836" w:rsidRPr="00A44836" w:rsidRDefault="00A44836" w:rsidP="00A44836">
            <w:pPr>
              <w:spacing w:line="240" w:lineRule="auto"/>
              <w:rPr>
                <w:rFonts w:ascii="Calibri" w:eastAsia="Calibri" w:hAnsi="Calibri" w:cs="Calibri"/>
                <w:sz w:val="20"/>
                <w:szCs w:val="20"/>
              </w:rPr>
            </w:pPr>
          </w:p>
          <w:p w14:paraId="3913030E" w14:textId="77777777" w:rsidR="00A44836" w:rsidRPr="00A44836" w:rsidRDefault="00A44836" w:rsidP="00A44836">
            <w:pPr>
              <w:spacing w:line="240" w:lineRule="auto"/>
              <w:rPr>
                <w:rFonts w:ascii="Calibri" w:eastAsia="Calibri" w:hAnsi="Calibri" w:cs="Calibri"/>
                <w:sz w:val="20"/>
                <w:szCs w:val="20"/>
              </w:rPr>
            </w:pPr>
          </w:p>
          <w:p w14:paraId="2968F65F" w14:textId="77777777" w:rsidR="00A44836" w:rsidRPr="00A44836" w:rsidRDefault="00A44836" w:rsidP="00A44836">
            <w:pPr>
              <w:spacing w:line="240" w:lineRule="auto"/>
              <w:rPr>
                <w:rFonts w:ascii="Calibri" w:eastAsia="Calibri" w:hAnsi="Calibri" w:cs="Calibri"/>
                <w:sz w:val="20"/>
                <w:szCs w:val="20"/>
              </w:rPr>
            </w:pPr>
          </w:p>
          <w:p w14:paraId="3AC05C86" w14:textId="77777777" w:rsidR="00A44836" w:rsidRPr="00A44836" w:rsidRDefault="00A44836" w:rsidP="00A44836">
            <w:pPr>
              <w:spacing w:line="240" w:lineRule="auto"/>
              <w:rPr>
                <w:rFonts w:ascii="Calibri" w:eastAsia="Calibri" w:hAnsi="Calibri" w:cs="Calibri"/>
                <w:sz w:val="20"/>
                <w:szCs w:val="20"/>
              </w:rPr>
            </w:pPr>
          </w:p>
        </w:tc>
      </w:tr>
    </w:tbl>
    <w:p w14:paraId="2284D04F" w14:textId="77777777" w:rsidR="00A44836" w:rsidRPr="00A44836" w:rsidRDefault="00A44836" w:rsidP="00A44836">
      <w:pPr>
        <w:spacing w:line="240" w:lineRule="auto"/>
        <w:rPr>
          <w:rFonts w:ascii="Calibri" w:eastAsia="Calibri" w:hAnsi="Calibri" w:cs="Calibri"/>
          <w:kern w:val="2"/>
          <w:sz w:val="20"/>
          <w:szCs w:val="20"/>
          <w:lang w:val="en-GB"/>
          <w14:ligatures w14:val="standardContextual"/>
        </w:rPr>
      </w:pPr>
    </w:p>
    <w:p w14:paraId="5C3830E1" w14:textId="77777777" w:rsidR="00A44836" w:rsidRPr="00A44836" w:rsidRDefault="00A44836" w:rsidP="00A44836">
      <w:pPr>
        <w:spacing w:line="240" w:lineRule="auto"/>
        <w:rPr>
          <w:rFonts w:ascii="Calibri" w:eastAsia="Calibri" w:hAnsi="Calibri" w:cs="Calibri"/>
          <w:b/>
          <w:bCs/>
          <w:kern w:val="2"/>
          <w:sz w:val="20"/>
          <w:szCs w:val="20"/>
          <w:lang w:val="en-GB"/>
          <w14:ligatures w14:val="standardContextual"/>
        </w:rPr>
      </w:pPr>
      <w:r w:rsidRPr="00A44836">
        <w:rPr>
          <w:rFonts w:ascii="Calibri" w:eastAsia="Calibri" w:hAnsi="Calibri" w:cs="Calibri"/>
          <w:kern w:val="2"/>
          <w:sz w:val="20"/>
          <w:szCs w:val="20"/>
          <w:lang w:val="en-GB"/>
          <w14:ligatures w14:val="standardContextual"/>
        </w:rPr>
        <w:t>Date:</w:t>
      </w:r>
      <w:r w:rsidRPr="00A44836">
        <w:rPr>
          <w:rFonts w:ascii="Calibri" w:eastAsia="Calibri" w:hAnsi="Calibri" w:cs="Calibri"/>
          <w:b/>
          <w:bCs/>
          <w:kern w:val="2"/>
          <w:sz w:val="20"/>
          <w:szCs w:val="20"/>
          <w:lang w:val="en-GB"/>
          <w14:ligatures w14:val="standardContextual"/>
        </w:rPr>
        <w:t xml:space="preserve"> </w:t>
      </w:r>
      <w:r w:rsidRPr="00A44836">
        <w:rPr>
          <w:rFonts w:ascii="Calibri" w:eastAsia="Calibri" w:hAnsi="Calibri" w:cs="Calibri"/>
          <w:color w:val="000000"/>
          <w:kern w:val="2"/>
          <w:sz w:val="20"/>
          <w:szCs w:val="20"/>
          <w:lang w:val="en-GB"/>
          <w14:ligatures w14:val="standardContextual"/>
        </w:rPr>
        <w:t>____________________________ </w:t>
      </w:r>
    </w:p>
    <w:p w14:paraId="279B2010" w14:textId="77777777" w:rsidR="000E1300" w:rsidRDefault="00000000" w:rsidP="00A44836">
      <w:r>
        <w:br w:type="page"/>
      </w:r>
    </w:p>
    <w:p w14:paraId="204F3B22" w14:textId="77777777" w:rsidR="000E1300" w:rsidRDefault="00000000" w:rsidP="00112E6C">
      <w:pPr>
        <w:pStyle w:val="Heading1"/>
        <w:numPr>
          <w:ilvl w:val="0"/>
          <w:numId w:val="0"/>
        </w:numPr>
        <w:ind w:left="432" w:hanging="432"/>
      </w:pPr>
      <w:bookmarkStart w:id="0" w:name="_Toc227857099"/>
      <w:r>
        <w:lastRenderedPageBreak/>
        <w:t>Executive Summary</w:t>
      </w:r>
      <w:bookmarkEnd w:id="0"/>
    </w:p>
    <w:p w14:paraId="079269DF" w14:textId="483AF186" w:rsidR="0058619F" w:rsidRDefault="0058619F" w:rsidP="0058619F">
      <w:pPr>
        <w:jc w:val="both"/>
      </w:pPr>
      <w:r>
        <w:t xml:space="preserve">This report assesses the adequacy of Unilever plc to continue the expansion based on the assignment case-study Excel workbook as the main source of quantitative data and the contextual assessment of the official disclosures of sustainability of Unilever plc. The workbook reveals a balanced but eventually good financial outlook in the years 2024 to 2025. Revenue declined from £58,420m to £55,980m, yet operating profit increased from £8,950m to £9,320m and net profit from £6,110m to £6,780m. This lifted operating margin from 15.32% to 16.65%, net margin from 10.46% to 12.11%, ROA from 7.49% to 8.75%, ROE from 27.28% to 32.21%, and free cash flow margin from 12.41% to 13.47%. </w:t>
      </w:r>
    </w:p>
    <w:p w14:paraId="3554D27F" w14:textId="43BD177D" w:rsidR="0058619F" w:rsidRDefault="0058619F" w:rsidP="0058619F">
      <w:pPr>
        <w:jc w:val="both"/>
      </w:pPr>
      <w:r>
        <w:t xml:space="preserve">The balance sheet should however be taken with care. Both liquidity ratios were below 1 in the two years and leverage although there was some improvement on some measures, was still material overall. ESG performance is strategic and not cosmetic: Unilever demonstrates believable achievements in operational </w:t>
      </w:r>
      <w:proofErr w:type="spellStart"/>
      <w:r>
        <w:t>decarbonisation</w:t>
      </w:r>
      <w:proofErr w:type="spellEnd"/>
      <w:r>
        <w:t xml:space="preserve">, plastics, responsible sourcing and governance, scope 3 emissions, packaging transition and supply-chain execution are still current issues. </w:t>
      </w:r>
    </w:p>
    <w:p w14:paraId="1D3B0280" w14:textId="121C1427" w:rsidR="0058619F" w:rsidRDefault="0058619F" w:rsidP="0058619F">
      <w:pPr>
        <w:jc w:val="both"/>
      </w:pPr>
      <w:r>
        <w:t>The report concludes that Unilever can have selective, gradual expansion, rather than aggressive expansion. It proposes cash-efficient expansion in high-potential markets and channels, with internal cash generation to support the expansion and sustainability-linked debt where suitable funding of ring-fenced ESG capital projects.</w:t>
      </w:r>
    </w:p>
    <w:p w14:paraId="0D4082E4" w14:textId="77777777" w:rsidR="00112E6C" w:rsidRDefault="00112E6C" w:rsidP="0058619F">
      <w:pPr>
        <w:jc w:val="both"/>
      </w:pPr>
    </w:p>
    <w:p w14:paraId="76DE2C8E" w14:textId="77777777" w:rsidR="00112E6C" w:rsidRDefault="00112E6C" w:rsidP="0058619F">
      <w:pPr>
        <w:jc w:val="both"/>
      </w:pPr>
    </w:p>
    <w:p w14:paraId="3B0CFA07" w14:textId="77777777" w:rsidR="00112E6C" w:rsidRDefault="00112E6C" w:rsidP="0058619F">
      <w:pPr>
        <w:jc w:val="both"/>
      </w:pPr>
    </w:p>
    <w:p w14:paraId="775BF5C7" w14:textId="77777777" w:rsidR="00112E6C" w:rsidRDefault="00112E6C" w:rsidP="0058619F">
      <w:pPr>
        <w:jc w:val="both"/>
      </w:pPr>
    </w:p>
    <w:p w14:paraId="3B72BAEF" w14:textId="77777777" w:rsidR="00112E6C" w:rsidRDefault="00112E6C" w:rsidP="0058619F">
      <w:pPr>
        <w:jc w:val="both"/>
      </w:pPr>
    </w:p>
    <w:p w14:paraId="5CC6684C" w14:textId="77777777" w:rsidR="00112E6C" w:rsidRDefault="00112E6C" w:rsidP="0058619F">
      <w:pPr>
        <w:jc w:val="both"/>
      </w:pPr>
    </w:p>
    <w:sdt>
      <w:sdtPr>
        <w:rPr>
          <w:rFonts w:eastAsia="Times New Roman" w:cstheme="minorBidi"/>
          <w:b w:val="0"/>
          <w:bCs w:val="0"/>
          <w:sz w:val="24"/>
          <w:szCs w:val="22"/>
        </w:rPr>
        <w:id w:val="-623391254"/>
        <w:docPartObj>
          <w:docPartGallery w:val="Table of Contents"/>
          <w:docPartUnique/>
        </w:docPartObj>
      </w:sdtPr>
      <w:sdtEndPr>
        <w:rPr>
          <w:noProof/>
        </w:rPr>
      </w:sdtEndPr>
      <w:sdtContent>
        <w:p w14:paraId="7F606013" w14:textId="51BC5454" w:rsidR="00112E6C" w:rsidRDefault="00112E6C" w:rsidP="00112E6C">
          <w:pPr>
            <w:pStyle w:val="TOCHeading"/>
            <w:numPr>
              <w:ilvl w:val="0"/>
              <w:numId w:val="0"/>
            </w:numPr>
            <w:ind w:left="432" w:hanging="432"/>
          </w:pPr>
          <w:r>
            <w:t>Table of Contents</w:t>
          </w:r>
        </w:p>
        <w:p w14:paraId="0384696B" w14:textId="5B99C091" w:rsidR="00112E6C" w:rsidRDefault="00112E6C">
          <w:pPr>
            <w:pStyle w:val="TOC1"/>
            <w:tabs>
              <w:tab w:val="right" w:leader="dot" w:pos="9016"/>
            </w:tabs>
            <w:rPr>
              <w:rFonts w:asciiTheme="minorHAnsi" w:eastAsiaTheme="minorEastAsia" w:hAnsiTheme="minorHAnsi"/>
              <w:noProof/>
              <w:kern w:val="2"/>
              <w:szCs w:val="24"/>
              <w14:ligatures w14:val="standardContextual"/>
            </w:rPr>
          </w:pPr>
          <w:r>
            <w:fldChar w:fldCharType="begin"/>
          </w:r>
          <w:r>
            <w:instrText xml:space="preserve"> TOC \o "1-3" \h \z \u </w:instrText>
          </w:r>
          <w:r>
            <w:fldChar w:fldCharType="separate"/>
          </w:r>
          <w:hyperlink w:anchor="_Toc227857099" w:history="1">
            <w:r w:rsidRPr="00693F69">
              <w:rPr>
                <w:rStyle w:val="Hyperlink"/>
                <w:rFonts w:eastAsiaTheme="majorEastAsia"/>
                <w:noProof/>
              </w:rPr>
              <w:t>Executive Summary</w:t>
            </w:r>
            <w:r>
              <w:rPr>
                <w:noProof/>
                <w:webHidden/>
              </w:rPr>
              <w:tab/>
            </w:r>
            <w:r>
              <w:rPr>
                <w:noProof/>
                <w:webHidden/>
              </w:rPr>
              <w:fldChar w:fldCharType="begin"/>
            </w:r>
            <w:r>
              <w:rPr>
                <w:noProof/>
                <w:webHidden/>
              </w:rPr>
              <w:instrText xml:space="preserve"> PAGEREF _Toc227857099 \h </w:instrText>
            </w:r>
            <w:r>
              <w:rPr>
                <w:noProof/>
                <w:webHidden/>
              </w:rPr>
            </w:r>
            <w:r>
              <w:rPr>
                <w:noProof/>
                <w:webHidden/>
              </w:rPr>
              <w:fldChar w:fldCharType="separate"/>
            </w:r>
            <w:r>
              <w:rPr>
                <w:noProof/>
                <w:webHidden/>
              </w:rPr>
              <w:t>2</w:t>
            </w:r>
            <w:r>
              <w:rPr>
                <w:noProof/>
                <w:webHidden/>
              </w:rPr>
              <w:fldChar w:fldCharType="end"/>
            </w:r>
          </w:hyperlink>
        </w:p>
        <w:p w14:paraId="09CCEDA4" w14:textId="4ABAD41C" w:rsidR="00112E6C" w:rsidRDefault="00112E6C">
          <w:pPr>
            <w:pStyle w:val="TOC1"/>
            <w:tabs>
              <w:tab w:val="left" w:pos="480"/>
              <w:tab w:val="right" w:leader="dot" w:pos="9016"/>
            </w:tabs>
            <w:rPr>
              <w:rFonts w:asciiTheme="minorHAnsi" w:eastAsiaTheme="minorEastAsia" w:hAnsiTheme="minorHAnsi"/>
              <w:noProof/>
              <w:kern w:val="2"/>
              <w:szCs w:val="24"/>
              <w14:ligatures w14:val="standardContextual"/>
            </w:rPr>
          </w:pPr>
          <w:hyperlink w:anchor="_Toc227857100" w:history="1">
            <w:r w:rsidRPr="00693F69">
              <w:rPr>
                <w:rStyle w:val="Hyperlink"/>
                <w:rFonts w:eastAsiaTheme="majorEastAsia"/>
                <w:noProof/>
              </w:rPr>
              <w:t>1</w:t>
            </w:r>
            <w:r>
              <w:rPr>
                <w:rFonts w:asciiTheme="minorHAnsi" w:eastAsiaTheme="minorEastAsia" w:hAnsiTheme="minorHAnsi"/>
                <w:noProof/>
                <w:kern w:val="2"/>
                <w:szCs w:val="24"/>
                <w14:ligatures w14:val="standardContextual"/>
              </w:rPr>
              <w:tab/>
            </w:r>
            <w:r w:rsidRPr="00693F69">
              <w:rPr>
                <w:rStyle w:val="Hyperlink"/>
                <w:rFonts w:eastAsiaTheme="majorEastAsia"/>
                <w:noProof/>
              </w:rPr>
              <w:t>Introduction</w:t>
            </w:r>
            <w:r>
              <w:rPr>
                <w:noProof/>
                <w:webHidden/>
              </w:rPr>
              <w:tab/>
            </w:r>
            <w:r>
              <w:rPr>
                <w:noProof/>
                <w:webHidden/>
              </w:rPr>
              <w:fldChar w:fldCharType="begin"/>
            </w:r>
            <w:r>
              <w:rPr>
                <w:noProof/>
                <w:webHidden/>
              </w:rPr>
              <w:instrText xml:space="preserve"> PAGEREF _Toc227857100 \h </w:instrText>
            </w:r>
            <w:r>
              <w:rPr>
                <w:noProof/>
                <w:webHidden/>
              </w:rPr>
            </w:r>
            <w:r>
              <w:rPr>
                <w:noProof/>
                <w:webHidden/>
              </w:rPr>
              <w:fldChar w:fldCharType="separate"/>
            </w:r>
            <w:r>
              <w:rPr>
                <w:noProof/>
                <w:webHidden/>
              </w:rPr>
              <w:t>3</w:t>
            </w:r>
            <w:r>
              <w:rPr>
                <w:noProof/>
                <w:webHidden/>
              </w:rPr>
              <w:fldChar w:fldCharType="end"/>
            </w:r>
          </w:hyperlink>
        </w:p>
        <w:p w14:paraId="15C54FCC" w14:textId="42239344" w:rsidR="00112E6C" w:rsidRDefault="00112E6C">
          <w:pPr>
            <w:pStyle w:val="TOC1"/>
            <w:tabs>
              <w:tab w:val="left" w:pos="480"/>
              <w:tab w:val="right" w:leader="dot" w:pos="9016"/>
            </w:tabs>
            <w:rPr>
              <w:rFonts w:asciiTheme="minorHAnsi" w:eastAsiaTheme="minorEastAsia" w:hAnsiTheme="minorHAnsi"/>
              <w:noProof/>
              <w:kern w:val="2"/>
              <w:szCs w:val="24"/>
              <w14:ligatures w14:val="standardContextual"/>
            </w:rPr>
          </w:pPr>
          <w:hyperlink w:anchor="_Toc227857101" w:history="1">
            <w:r w:rsidRPr="00693F69">
              <w:rPr>
                <w:rStyle w:val="Hyperlink"/>
                <w:rFonts w:eastAsiaTheme="majorEastAsia"/>
                <w:noProof/>
              </w:rPr>
              <w:t>2</w:t>
            </w:r>
            <w:r>
              <w:rPr>
                <w:rFonts w:asciiTheme="minorHAnsi" w:eastAsiaTheme="minorEastAsia" w:hAnsiTheme="minorHAnsi"/>
                <w:noProof/>
                <w:kern w:val="2"/>
                <w:szCs w:val="24"/>
                <w14:ligatures w14:val="standardContextual"/>
              </w:rPr>
              <w:tab/>
            </w:r>
            <w:r w:rsidRPr="00693F69">
              <w:rPr>
                <w:rStyle w:val="Hyperlink"/>
                <w:rFonts w:eastAsiaTheme="majorEastAsia"/>
                <w:noProof/>
              </w:rPr>
              <w:t>Financial Performance Analysis</w:t>
            </w:r>
            <w:r>
              <w:rPr>
                <w:noProof/>
                <w:webHidden/>
              </w:rPr>
              <w:tab/>
            </w:r>
            <w:r>
              <w:rPr>
                <w:noProof/>
                <w:webHidden/>
              </w:rPr>
              <w:fldChar w:fldCharType="begin"/>
            </w:r>
            <w:r>
              <w:rPr>
                <w:noProof/>
                <w:webHidden/>
              </w:rPr>
              <w:instrText xml:space="preserve"> PAGEREF _Toc227857101 \h </w:instrText>
            </w:r>
            <w:r>
              <w:rPr>
                <w:noProof/>
                <w:webHidden/>
              </w:rPr>
            </w:r>
            <w:r>
              <w:rPr>
                <w:noProof/>
                <w:webHidden/>
              </w:rPr>
              <w:fldChar w:fldCharType="separate"/>
            </w:r>
            <w:r>
              <w:rPr>
                <w:noProof/>
                <w:webHidden/>
              </w:rPr>
              <w:t>4</w:t>
            </w:r>
            <w:r>
              <w:rPr>
                <w:noProof/>
                <w:webHidden/>
              </w:rPr>
              <w:fldChar w:fldCharType="end"/>
            </w:r>
          </w:hyperlink>
        </w:p>
        <w:p w14:paraId="4D9306D2" w14:textId="3D68E80C" w:rsidR="00112E6C" w:rsidRDefault="00112E6C">
          <w:pPr>
            <w:pStyle w:val="TOC1"/>
            <w:tabs>
              <w:tab w:val="left" w:pos="480"/>
              <w:tab w:val="right" w:leader="dot" w:pos="9016"/>
            </w:tabs>
            <w:rPr>
              <w:rFonts w:asciiTheme="minorHAnsi" w:eastAsiaTheme="minorEastAsia" w:hAnsiTheme="minorHAnsi"/>
              <w:noProof/>
              <w:kern w:val="2"/>
              <w:szCs w:val="24"/>
              <w14:ligatures w14:val="standardContextual"/>
            </w:rPr>
          </w:pPr>
          <w:hyperlink w:anchor="_Toc227857102" w:history="1">
            <w:r w:rsidRPr="00693F69">
              <w:rPr>
                <w:rStyle w:val="Hyperlink"/>
                <w:rFonts w:eastAsiaTheme="majorEastAsia"/>
                <w:noProof/>
              </w:rPr>
              <w:t>3</w:t>
            </w:r>
            <w:r>
              <w:rPr>
                <w:rFonts w:asciiTheme="minorHAnsi" w:eastAsiaTheme="minorEastAsia" w:hAnsiTheme="minorHAnsi"/>
                <w:noProof/>
                <w:kern w:val="2"/>
                <w:szCs w:val="24"/>
                <w14:ligatures w14:val="standardContextual"/>
              </w:rPr>
              <w:tab/>
            </w:r>
            <w:r w:rsidRPr="00693F69">
              <w:rPr>
                <w:rStyle w:val="Hyperlink"/>
                <w:rFonts w:eastAsiaTheme="majorEastAsia"/>
                <w:noProof/>
              </w:rPr>
              <w:t>ESG Performance Evaluation</w:t>
            </w:r>
            <w:r>
              <w:rPr>
                <w:noProof/>
                <w:webHidden/>
              </w:rPr>
              <w:tab/>
            </w:r>
            <w:r>
              <w:rPr>
                <w:noProof/>
                <w:webHidden/>
              </w:rPr>
              <w:fldChar w:fldCharType="begin"/>
            </w:r>
            <w:r>
              <w:rPr>
                <w:noProof/>
                <w:webHidden/>
              </w:rPr>
              <w:instrText xml:space="preserve"> PAGEREF _Toc227857102 \h </w:instrText>
            </w:r>
            <w:r>
              <w:rPr>
                <w:noProof/>
                <w:webHidden/>
              </w:rPr>
            </w:r>
            <w:r>
              <w:rPr>
                <w:noProof/>
                <w:webHidden/>
              </w:rPr>
              <w:fldChar w:fldCharType="separate"/>
            </w:r>
            <w:r>
              <w:rPr>
                <w:noProof/>
                <w:webHidden/>
              </w:rPr>
              <w:t>6</w:t>
            </w:r>
            <w:r>
              <w:rPr>
                <w:noProof/>
                <w:webHidden/>
              </w:rPr>
              <w:fldChar w:fldCharType="end"/>
            </w:r>
          </w:hyperlink>
        </w:p>
        <w:p w14:paraId="1C798B98" w14:textId="5D40FCC0" w:rsidR="00112E6C" w:rsidRDefault="00112E6C">
          <w:pPr>
            <w:pStyle w:val="TOC1"/>
            <w:tabs>
              <w:tab w:val="left" w:pos="480"/>
              <w:tab w:val="right" w:leader="dot" w:pos="9016"/>
            </w:tabs>
            <w:rPr>
              <w:rFonts w:asciiTheme="minorHAnsi" w:eastAsiaTheme="minorEastAsia" w:hAnsiTheme="minorHAnsi"/>
              <w:noProof/>
              <w:kern w:val="2"/>
              <w:szCs w:val="24"/>
              <w14:ligatures w14:val="standardContextual"/>
            </w:rPr>
          </w:pPr>
          <w:hyperlink w:anchor="_Toc227857103" w:history="1">
            <w:r w:rsidRPr="00693F69">
              <w:rPr>
                <w:rStyle w:val="Hyperlink"/>
                <w:rFonts w:eastAsiaTheme="majorEastAsia"/>
                <w:noProof/>
              </w:rPr>
              <w:t>4</w:t>
            </w:r>
            <w:r>
              <w:rPr>
                <w:rFonts w:asciiTheme="minorHAnsi" w:eastAsiaTheme="minorEastAsia" w:hAnsiTheme="minorHAnsi"/>
                <w:noProof/>
                <w:kern w:val="2"/>
                <w:szCs w:val="24"/>
                <w14:ligatures w14:val="standardContextual"/>
              </w:rPr>
              <w:tab/>
            </w:r>
            <w:r w:rsidRPr="00693F69">
              <w:rPr>
                <w:rStyle w:val="Hyperlink"/>
                <w:rFonts w:eastAsiaTheme="majorEastAsia"/>
                <w:noProof/>
              </w:rPr>
              <w:t>Sustainable Expansion Strategy and Recommendations</w:t>
            </w:r>
            <w:r>
              <w:rPr>
                <w:noProof/>
                <w:webHidden/>
              </w:rPr>
              <w:tab/>
            </w:r>
            <w:r>
              <w:rPr>
                <w:noProof/>
                <w:webHidden/>
              </w:rPr>
              <w:fldChar w:fldCharType="begin"/>
            </w:r>
            <w:r>
              <w:rPr>
                <w:noProof/>
                <w:webHidden/>
              </w:rPr>
              <w:instrText xml:space="preserve"> PAGEREF _Toc227857103 \h </w:instrText>
            </w:r>
            <w:r>
              <w:rPr>
                <w:noProof/>
                <w:webHidden/>
              </w:rPr>
            </w:r>
            <w:r>
              <w:rPr>
                <w:noProof/>
                <w:webHidden/>
              </w:rPr>
              <w:fldChar w:fldCharType="separate"/>
            </w:r>
            <w:r>
              <w:rPr>
                <w:noProof/>
                <w:webHidden/>
              </w:rPr>
              <w:t>7</w:t>
            </w:r>
            <w:r>
              <w:rPr>
                <w:noProof/>
                <w:webHidden/>
              </w:rPr>
              <w:fldChar w:fldCharType="end"/>
            </w:r>
          </w:hyperlink>
        </w:p>
        <w:p w14:paraId="7DED0FDF" w14:textId="61326062" w:rsidR="00112E6C" w:rsidRDefault="00112E6C">
          <w:pPr>
            <w:pStyle w:val="TOC1"/>
            <w:tabs>
              <w:tab w:val="left" w:pos="480"/>
              <w:tab w:val="right" w:leader="dot" w:pos="9016"/>
            </w:tabs>
            <w:rPr>
              <w:rFonts w:asciiTheme="minorHAnsi" w:eastAsiaTheme="minorEastAsia" w:hAnsiTheme="minorHAnsi"/>
              <w:noProof/>
              <w:kern w:val="2"/>
              <w:szCs w:val="24"/>
              <w14:ligatures w14:val="standardContextual"/>
            </w:rPr>
          </w:pPr>
          <w:hyperlink w:anchor="_Toc227857104" w:history="1">
            <w:r w:rsidRPr="00693F69">
              <w:rPr>
                <w:rStyle w:val="Hyperlink"/>
                <w:rFonts w:eastAsiaTheme="majorEastAsia"/>
                <w:noProof/>
              </w:rPr>
              <w:t>5</w:t>
            </w:r>
            <w:r>
              <w:rPr>
                <w:rFonts w:asciiTheme="minorHAnsi" w:eastAsiaTheme="minorEastAsia" w:hAnsiTheme="minorHAnsi"/>
                <w:noProof/>
                <w:kern w:val="2"/>
                <w:szCs w:val="24"/>
                <w14:ligatures w14:val="standardContextual"/>
              </w:rPr>
              <w:tab/>
            </w:r>
            <w:r w:rsidRPr="00693F69">
              <w:rPr>
                <w:rStyle w:val="Hyperlink"/>
                <w:rFonts w:eastAsiaTheme="majorEastAsia"/>
                <w:noProof/>
              </w:rPr>
              <w:t>Justification of Source of Finance</w:t>
            </w:r>
            <w:r>
              <w:rPr>
                <w:noProof/>
                <w:webHidden/>
              </w:rPr>
              <w:tab/>
            </w:r>
            <w:r>
              <w:rPr>
                <w:noProof/>
                <w:webHidden/>
              </w:rPr>
              <w:fldChar w:fldCharType="begin"/>
            </w:r>
            <w:r>
              <w:rPr>
                <w:noProof/>
                <w:webHidden/>
              </w:rPr>
              <w:instrText xml:space="preserve"> PAGEREF _Toc227857104 \h </w:instrText>
            </w:r>
            <w:r>
              <w:rPr>
                <w:noProof/>
                <w:webHidden/>
              </w:rPr>
            </w:r>
            <w:r>
              <w:rPr>
                <w:noProof/>
                <w:webHidden/>
              </w:rPr>
              <w:fldChar w:fldCharType="separate"/>
            </w:r>
            <w:r>
              <w:rPr>
                <w:noProof/>
                <w:webHidden/>
              </w:rPr>
              <w:t>8</w:t>
            </w:r>
            <w:r>
              <w:rPr>
                <w:noProof/>
                <w:webHidden/>
              </w:rPr>
              <w:fldChar w:fldCharType="end"/>
            </w:r>
          </w:hyperlink>
        </w:p>
        <w:p w14:paraId="0A86CD0F" w14:textId="2CD91A9A" w:rsidR="00112E6C" w:rsidRDefault="00112E6C">
          <w:pPr>
            <w:pStyle w:val="TOC1"/>
            <w:tabs>
              <w:tab w:val="left" w:pos="480"/>
              <w:tab w:val="right" w:leader="dot" w:pos="9016"/>
            </w:tabs>
            <w:rPr>
              <w:rFonts w:asciiTheme="minorHAnsi" w:eastAsiaTheme="minorEastAsia" w:hAnsiTheme="minorHAnsi"/>
              <w:noProof/>
              <w:kern w:val="2"/>
              <w:szCs w:val="24"/>
              <w14:ligatures w14:val="standardContextual"/>
            </w:rPr>
          </w:pPr>
          <w:hyperlink w:anchor="_Toc227857105" w:history="1">
            <w:r w:rsidRPr="00693F69">
              <w:rPr>
                <w:rStyle w:val="Hyperlink"/>
                <w:rFonts w:eastAsiaTheme="majorEastAsia"/>
                <w:noProof/>
              </w:rPr>
              <w:t>6</w:t>
            </w:r>
            <w:r>
              <w:rPr>
                <w:rFonts w:asciiTheme="minorHAnsi" w:eastAsiaTheme="minorEastAsia" w:hAnsiTheme="minorHAnsi"/>
                <w:noProof/>
                <w:kern w:val="2"/>
                <w:szCs w:val="24"/>
                <w14:ligatures w14:val="standardContextual"/>
              </w:rPr>
              <w:tab/>
            </w:r>
            <w:r w:rsidRPr="00693F69">
              <w:rPr>
                <w:rStyle w:val="Hyperlink"/>
                <w:rFonts w:eastAsiaTheme="majorEastAsia"/>
                <w:noProof/>
              </w:rPr>
              <w:t>Conclusion</w:t>
            </w:r>
            <w:r>
              <w:rPr>
                <w:noProof/>
                <w:webHidden/>
              </w:rPr>
              <w:tab/>
            </w:r>
            <w:r>
              <w:rPr>
                <w:noProof/>
                <w:webHidden/>
              </w:rPr>
              <w:fldChar w:fldCharType="begin"/>
            </w:r>
            <w:r>
              <w:rPr>
                <w:noProof/>
                <w:webHidden/>
              </w:rPr>
              <w:instrText xml:space="preserve"> PAGEREF _Toc227857105 \h </w:instrText>
            </w:r>
            <w:r>
              <w:rPr>
                <w:noProof/>
                <w:webHidden/>
              </w:rPr>
            </w:r>
            <w:r>
              <w:rPr>
                <w:noProof/>
                <w:webHidden/>
              </w:rPr>
              <w:fldChar w:fldCharType="separate"/>
            </w:r>
            <w:r>
              <w:rPr>
                <w:noProof/>
                <w:webHidden/>
              </w:rPr>
              <w:t>8</w:t>
            </w:r>
            <w:r>
              <w:rPr>
                <w:noProof/>
                <w:webHidden/>
              </w:rPr>
              <w:fldChar w:fldCharType="end"/>
            </w:r>
          </w:hyperlink>
        </w:p>
        <w:p w14:paraId="7075736A" w14:textId="2F9D843F" w:rsidR="00112E6C" w:rsidRDefault="00112E6C">
          <w:pPr>
            <w:pStyle w:val="TOC1"/>
            <w:tabs>
              <w:tab w:val="left" w:pos="480"/>
              <w:tab w:val="right" w:leader="dot" w:pos="9016"/>
            </w:tabs>
            <w:rPr>
              <w:rFonts w:asciiTheme="minorHAnsi" w:eastAsiaTheme="minorEastAsia" w:hAnsiTheme="minorHAnsi"/>
              <w:noProof/>
              <w:kern w:val="2"/>
              <w:szCs w:val="24"/>
              <w14:ligatures w14:val="standardContextual"/>
            </w:rPr>
          </w:pPr>
          <w:hyperlink w:anchor="_Toc227857106" w:history="1">
            <w:r w:rsidRPr="00693F69">
              <w:rPr>
                <w:rStyle w:val="Hyperlink"/>
                <w:rFonts w:eastAsiaTheme="majorEastAsia"/>
                <w:noProof/>
              </w:rPr>
              <w:t>7</w:t>
            </w:r>
            <w:r>
              <w:rPr>
                <w:rFonts w:asciiTheme="minorHAnsi" w:eastAsiaTheme="minorEastAsia" w:hAnsiTheme="minorHAnsi"/>
                <w:noProof/>
                <w:kern w:val="2"/>
                <w:szCs w:val="24"/>
                <w14:ligatures w14:val="standardContextual"/>
              </w:rPr>
              <w:tab/>
            </w:r>
            <w:r w:rsidRPr="00693F69">
              <w:rPr>
                <w:rStyle w:val="Hyperlink"/>
                <w:rFonts w:eastAsiaTheme="majorEastAsia"/>
                <w:noProof/>
              </w:rPr>
              <w:t>Actionable Recommendations</w:t>
            </w:r>
            <w:r>
              <w:rPr>
                <w:noProof/>
                <w:webHidden/>
              </w:rPr>
              <w:tab/>
            </w:r>
            <w:r>
              <w:rPr>
                <w:noProof/>
                <w:webHidden/>
              </w:rPr>
              <w:fldChar w:fldCharType="begin"/>
            </w:r>
            <w:r>
              <w:rPr>
                <w:noProof/>
                <w:webHidden/>
              </w:rPr>
              <w:instrText xml:space="preserve"> PAGEREF _Toc227857106 \h </w:instrText>
            </w:r>
            <w:r>
              <w:rPr>
                <w:noProof/>
                <w:webHidden/>
              </w:rPr>
            </w:r>
            <w:r>
              <w:rPr>
                <w:noProof/>
                <w:webHidden/>
              </w:rPr>
              <w:fldChar w:fldCharType="separate"/>
            </w:r>
            <w:r>
              <w:rPr>
                <w:noProof/>
                <w:webHidden/>
              </w:rPr>
              <w:t>9</w:t>
            </w:r>
            <w:r>
              <w:rPr>
                <w:noProof/>
                <w:webHidden/>
              </w:rPr>
              <w:fldChar w:fldCharType="end"/>
            </w:r>
          </w:hyperlink>
        </w:p>
        <w:p w14:paraId="64D9A7D6" w14:textId="68DD0892" w:rsidR="00112E6C" w:rsidRDefault="00112E6C">
          <w:pPr>
            <w:pStyle w:val="TOC1"/>
            <w:tabs>
              <w:tab w:val="left" w:pos="480"/>
              <w:tab w:val="right" w:leader="dot" w:pos="9016"/>
            </w:tabs>
            <w:rPr>
              <w:rFonts w:asciiTheme="minorHAnsi" w:eastAsiaTheme="minorEastAsia" w:hAnsiTheme="minorHAnsi"/>
              <w:noProof/>
              <w:kern w:val="2"/>
              <w:szCs w:val="24"/>
              <w14:ligatures w14:val="standardContextual"/>
            </w:rPr>
          </w:pPr>
          <w:hyperlink w:anchor="_Toc227857107" w:history="1">
            <w:r w:rsidRPr="00693F69">
              <w:rPr>
                <w:rStyle w:val="Hyperlink"/>
                <w:rFonts w:eastAsiaTheme="majorEastAsia"/>
                <w:noProof/>
              </w:rPr>
              <w:t>8</w:t>
            </w:r>
            <w:r>
              <w:rPr>
                <w:rFonts w:asciiTheme="minorHAnsi" w:eastAsiaTheme="minorEastAsia" w:hAnsiTheme="minorHAnsi"/>
                <w:noProof/>
                <w:kern w:val="2"/>
                <w:szCs w:val="24"/>
                <w14:ligatures w14:val="standardContextual"/>
              </w:rPr>
              <w:tab/>
            </w:r>
            <w:r w:rsidRPr="00693F69">
              <w:rPr>
                <w:rStyle w:val="Hyperlink"/>
                <w:rFonts w:eastAsiaTheme="majorEastAsia"/>
                <w:noProof/>
              </w:rPr>
              <w:t>References</w:t>
            </w:r>
            <w:r>
              <w:rPr>
                <w:noProof/>
                <w:webHidden/>
              </w:rPr>
              <w:tab/>
            </w:r>
            <w:r>
              <w:rPr>
                <w:noProof/>
                <w:webHidden/>
              </w:rPr>
              <w:fldChar w:fldCharType="begin"/>
            </w:r>
            <w:r>
              <w:rPr>
                <w:noProof/>
                <w:webHidden/>
              </w:rPr>
              <w:instrText xml:space="preserve"> PAGEREF _Toc227857107 \h </w:instrText>
            </w:r>
            <w:r>
              <w:rPr>
                <w:noProof/>
                <w:webHidden/>
              </w:rPr>
            </w:r>
            <w:r>
              <w:rPr>
                <w:noProof/>
                <w:webHidden/>
              </w:rPr>
              <w:fldChar w:fldCharType="separate"/>
            </w:r>
            <w:r>
              <w:rPr>
                <w:noProof/>
                <w:webHidden/>
              </w:rPr>
              <w:t>10</w:t>
            </w:r>
            <w:r>
              <w:rPr>
                <w:noProof/>
                <w:webHidden/>
              </w:rPr>
              <w:fldChar w:fldCharType="end"/>
            </w:r>
          </w:hyperlink>
        </w:p>
        <w:p w14:paraId="0D08A02D" w14:textId="1D0ECA11" w:rsidR="00112E6C" w:rsidRDefault="00112E6C">
          <w:pPr>
            <w:pStyle w:val="TOC1"/>
            <w:tabs>
              <w:tab w:val="left" w:pos="480"/>
              <w:tab w:val="right" w:leader="dot" w:pos="9016"/>
            </w:tabs>
            <w:rPr>
              <w:rFonts w:asciiTheme="minorHAnsi" w:eastAsiaTheme="minorEastAsia" w:hAnsiTheme="minorHAnsi"/>
              <w:noProof/>
              <w:kern w:val="2"/>
              <w:szCs w:val="24"/>
              <w14:ligatures w14:val="standardContextual"/>
            </w:rPr>
          </w:pPr>
          <w:hyperlink w:anchor="_Toc227857108" w:history="1">
            <w:r w:rsidRPr="00693F69">
              <w:rPr>
                <w:rStyle w:val="Hyperlink"/>
                <w:rFonts w:eastAsiaTheme="majorEastAsia"/>
                <w:noProof/>
              </w:rPr>
              <w:t>9</w:t>
            </w:r>
            <w:r>
              <w:rPr>
                <w:rFonts w:asciiTheme="minorHAnsi" w:eastAsiaTheme="minorEastAsia" w:hAnsiTheme="minorHAnsi"/>
                <w:noProof/>
                <w:kern w:val="2"/>
                <w:szCs w:val="24"/>
                <w14:ligatures w14:val="standardContextual"/>
              </w:rPr>
              <w:tab/>
            </w:r>
            <w:r w:rsidRPr="00693F69">
              <w:rPr>
                <w:rStyle w:val="Hyperlink"/>
                <w:rFonts w:eastAsiaTheme="majorEastAsia"/>
                <w:noProof/>
              </w:rPr>
              <w:t>Appendices</w:t>
            </w:r>
            <w:r>
              <w:rPr>
                <w:noProof/>
                <w:webHidden/>
              </w:rPr>
              <w:tab/>
            </w:r>
            <w:r>
              <w:rPr>
                <w:noProof/>
                <w:webHidden/>
              </w:rPr>
              <w:fldChar w:fldCharType="begin"/>
            </w:r>
            <w:r>
              <w:rPr>
                <w:noProof/>
                <w:webHidden/>
              </w:rPr>
              <w:instrText xml:space="preserve"> PAGEREF _Toc227857108 \h </w:instrText>
            </w:r>
            <w:r>
              <w:rPr>
                <w:noProof/>
                <w:webHidden/>
              </w:rPr>
            </w:r>
            <w:r>
              <w:rPr>
                <w:noProof/>
                <w:webHidden/>
              </w:rPr>
              <w:fldChar w:fldCharType="separate"/>
            </w:r>
            <w:r>
              <w:rPr>
                <w:noProof/>
                <w:webHidden/>
              </w:rPr>
              <w:t>12</w:t>
            </w:r>
            <w:r>
              <w:rPr>
                <w:noProof/>
                <w:webHidden/>
              </w:rPr>
              <w:fldChar w:fldCharType="end"/>
            </w:r>
          </w:hyperlink>
        </w:p>
        <w:p w14:paraId="1EF59340" w14:textId="2466B0BE" w:rsidR="00112E6C" w:rsidRDefault="00112E6C">
          <w:pPr>
            <w:pStyle w:val="TOC2"/>
            <w:tabs>
              <w:tab w:val="left" w:pos="960"/>
              <w:tab w:val="right" w:leader="dot" w:pos="9016"/>
            </w:tabs>
            <w:rPr>
              <w:rFonts w:asciiTheme="minorHAnsi" w:eastAsiaTheme="minorEastAsia" w:hAnsiTheme="minorHAnsi"/>
              <w:noProof/>
              <w:kern w:val="2"/>
              <w:szCs w:val="24"/>
              <w14:ligatures w14:val="standardContextual"/>
            </w:rPr>
          </w:pPr>
          <w:hyperlink w:anchor="_Toc227857109" w:history="1">
            <w:r w:rsidRPr="00693F69">
              <w:rPr>
                <w:rStyle w:val="Hyperlink"/>
                <w:rFonts w:eastAsiaTheme="majorEastAsia"/>
                <w:noProof/>
              </w:rPr>
              <w:t>9.1</w:t>
            </w:r>
            <w:r>
              <w:rPr>
                <w:rFonts w:asciiTheme="minorHAnsi" w:eastAsiaTheme="minorEastAsia" w:hAnsiTheme="minorHAnsi"/>
                <w:noProof/>
                <w:kern w:val="2"/>
                <w:szCs w:val="24"/>
                <w14:ligatures w14:val="standardContextual"/>
              </w:rPr>
              <w:tab/>
            </w:r>
            <w:r w:rsidRPr="00693F69">
              <w:rPr>
                <w:rStyle w:val="Hyperlink"/>
                <w:rFonts w:eastAsiaTheme="majorEastAsia"/>
                <w:noProof/>
              </w:rPr>
              <w:t>Appendix 1: Ratio calculations from Excel workbook</w:t>
            </w:r>
            <w:r>
              <w:rPr>
                <w:noProof/>
                <w:webHidden/>
              </w:rPr>
              <w:tab/>
            </w:r>
            <w:r>
              <w:rPr>
                <w:noProof/>
                <w:webHidden/>
              </w:rPr>
              <w:fldChar w:fldCharType="begin"/>
            </w:r>
            <w:r>
              <w:rPr>
                <w:noProof/>
                <w:webHidden/>
              </w:rPr>
              <w:instrText xml:space="preserve"> PAGEREF _Toc227857109 \h </w:instrText>
            </w:r>
            <w:r>
              <w:rPr>
                <w:noProof/>
                <w:webHidden/>
              </w:rPr>
            </w:r>
            <w:r>
              <w:rPr>
                <w:noProof/>
                <w:webHidden/>
              </w:rPr>
              <w:fldChar w:fldCharType="separate"/>
            </w:r>
            <w:r>
              <w:rPr>
                <w:noProof/>
                <w:webHidden/>
              </w:rPr>
              <w:t>12</w:t>
            </w:r>
            <w:r>
              <w:rPr>
                <w:noProof/>
                <w:webHidden/>
              </w:rPr>
              <w:fldChar w:fldCharType="end"/>
            </w:r>
          </w:hyperlink>
        </w:p>
        <w:p w14:paraId="4E1EBADE" w14:textId="4C803167" w:rsidR="00112E6C" w:rsidRDefault="00112E6C">
          <w:pPr>
            <w:pStyle w:val="TOC2"/>
            <w:tabs>
              <w:tab w:val="left" w:pos="960"/>
              <w:tab w:val="right" w:leader="dot" w:pos="9016"/>
            </w:tabs>
            <w:rPr>
              <w:rFonts w:asciiTheme="minorHAnsi" w:eastAsiaTheme="minorEastAsia" w:hAnsiTheme="minorHAnsi"/>
              <w:noProof/>
              <w:kern w:val="2"/>
              <w:szCs w:val="24"/>
              <w14:ligatures w14:val="standardContextual"/>
            </w:rPr>
          </w:pPr>
          <w:hyperlink w:anchor="_Toc227857110" w:history="1">
            <w:r w:rsidRPr="00693F69">
              <w:rPr>
                <w:rStyle w:val="Hyperlink"/>
                <w:rFonts w:eastAsiaTheme="majorEastAsia"/>
                <w:noProof/>
              </w:rPr>
              <w:t>9.2</w:t>
            </w:r>
            <w:r>
              <w:rPr>
                <w:rFonts w:asciiTheme="minorHAnsi" w:eastAsiaTheme="minorEastAsia" w:hAnsiTheme="minorHAnsi"/>
                <w:noProof/>
                <w:kern w:val="2"/>
                <w:szCs w:val="24"/>
                <w14:ligatures w14:val="standardContextual"/>
              </w:rPr>
              <w:tab/>
            </w:r>
            <w:r w:rsidRPr="00693F69">
              <w:rPr>
                <w:rStyle w:val="Hyperlink"/>
                <w:rFonts w:eastAsiaTheme="majorEastAsia"/>
                <w:noProof/>
              </w:rPr>
              <w:t>Appendix 2: Key financial tables</w:t>
            </w:r>
            <w:r>
              <w:rPr>
                <w:noProof/>
                <w:webHidden/>
              </w:rPr>
              <w:tab/>
            </w:r>
            <w:r>
              <w:rPr>
                <w:noProof/>
                <w:webHidden/>
              </w:rPr>
              <w:fldChar w:fldCharType="begin"/>
            </w:r>
            <w:r>
              <w:rPr>
                <w:noProof/>
                <w:webHidden/>
              </w:rPr>
              <w:instrText xml:space="preserve"> PAGEREF _Toc227857110 \h </w:instrText>
            </w:r>
            <w:r>
              <w:rPr>
                <w:noProof/>
                <w:webHidden/>
              </w:rPr>
            </w:r>
            <w:r>
              <w:rPr>
                <w:noProof/>
                <w:webHidden/>
              </w:rPr>
              <w:fldChar w:fldCharType="separate"/>
            </w:r>
            <w:r>
              <w:rPr>
                <w:noProof/>
                <w:webHidden/>
              </w:rPr>
              <w:t>13</w:t>
            </w:r>
            <w:r>
              <w:rPr>
                <w:noProof/>
                <w:webHidden/>
              </w:rPr>
              <w:fldChar w:fldCharType="end"/>
            </w:r>
          </w:hyperlink>
        </w:p>
        <w:p w14:paraId="0BF3AE78" w14:textId="6999A412" w:rsidR="00112E6C" w:rsidRDefault="00112E6C">
          <w:pPr>
            <w:pStyle w:val="TOC2"/>
            <w:tabs>
              <w:tab w:val="left" w:pos="960"/>
              <w:tab w:val="right" w:leader="dot" w:pos="9016"/>
            </w:tabs>
            <w:rPr>
              <w:rFonts w:asciiTheme="minorHAnsi" w:eastAsiaTheme="minorEastAsia" w:hAnsiTheme="minorHAnsi"/>
              <w:noProof/>
              <w:kern w:val="2"/>
              <w:szCs w:val="24"/>
              <w14:ligatures w14:val="standardContextual"/>
            </w:rPr>
          </w:pPr>
          <w:hyperlink w:anchor="_Toc227857111" w:history="1">
            <w:r w:rsidRPr="00693F69">
              <w:rPr>
                <w:rStyle w:val="Hyperlink"/>
                <w:rFonts w:eastAsiaTheme="majorEastAsia"/>
                <w:noProof/>
              </w:rPr>
              <w:t>9.3</w:t>
            </w:r>
            <w:r>
              <w:rPr>
                <w:rFonts w:asciiTheme="minorHAnsi" w:eastAsiaTheme="minorEastAsia" w:hAnsiTheme="minorHAnsi"/>
                <w:noProof/>
                <w:kern w:val="2"/>
                <w:szCs w:val="24"/>
                <w14:ligatures w14:val="standardContextual"/>
              </w:rPr>
              <w:tab/>
            </w:r>
            <w:r w:rsidRPr="00693F69">
              <w:rPr>
                <w:rStyle w:val="Hyperlink"/>
                <w:rFonts w:eastAsiaTheme="majorEastAsia"/>
                <w:noProof/>
              </w:rPr>
              <w:t>Appendix 3: ESG evidence summary</w:t>
            </w:r>
            <w:r>
              <w:rPr>
                <w:noProof/>
                <w:webHidden/>
              </w:rPr>
              <w:tab/>
            </w:r>
            <w:r>
              <w:rPr>
                <w:noProof/>
                <w:webHidden/>
              </w:rPr>
              <w:fldChar w:fldCharType="begin"/>
            </w:r>
            <w:r>
              <w:rPr>
                <w:noProof/>
                <w:webHidden/>
              </w:rPr>
              <w:instrText xml:space="preserve"> PAGEREF _Toc227857111 \h </w:instrText>
            </w:r>
            <w:r>
              <w:rPr>
                <w:noProof/>
                <w:webHidden/>
              </w:rPr>
            </w:r>
            <w:r>
              <w:rPr>
                <w:noProof/>
                <w:webHidden/>
              </w:rPr>
              <w:fldChar w:fldCharType="separate"/>
            </w:r>
            <w:r>
              <w:rPr>
                <w:noProof/>
                <w:webHidden/>
              </w:rPr>
              <w:t>14</w:t>
            </w:r>
            <w:r>
              <w:rPr>
                <w:noProof/>
                <w:webHidden/>
              </w:rPr>
              <w:fldChar w:fldCharType="end"/>
            </w:r>
          </w:hyperlink>
        </w:p>
        <w:p w14:paraId="1E78E093" w14:textId="75E25101" w:rsidR="00112E6C" w:rsidRDefault="00112E6C">
          <w:pPr>
            <w:pStyle w:val="TOC2"/>
            <w:tabs>
              <w:tab w:val="left" w:pos="960"/>
              <w:tab w:val="right" w:leader="dot" w:pos="9016"/>
            </w:tabs>
            <w:rPr>
              <w:rFonts w:asciiTheme="minorHAnsi" w:eastAsiaTheme="minorEastAsia" w:hAnsiTheme="minorHAnsi"/>
              <w:noProof/>
              <w:kern w:val="2"/>
              <w:szCs w:val="24"/>
              <w14:ligatures w14:val="standardContextual"/>
            </w:rPr>
          </w:pPr>
          <w:hyperlink w:anchor="_Toc227857112" w:history="1">
            <w:r w:rsidRPr="00693F69">
              <w:rPr>
                <w:rStyle w:val="Hyperlink"/>
                <w:rFonts w:eastAsiaTheme="majorEastAsia"/>
                <w:noProof/>
              </w:rPr>
              <w:t>9.4</w:t>
            </w:r>
            <w:r>
              <w:rPr>
                <w:rFonts w:asciiTheme="minorHAnsi" w:eastAsiaTheme="minorEastAsia" w:hAnsiTheme="minorHAnsi"/>
                <w:noProof/>
                <w:kern w:val="2"/>
                <w:szCs w:val="24"/>
                <w14:ligatures w14:val="standardContextual"/>
              </w:rPr>
              <w:tab/>
            </w:r>
            <w:r w:rsidRPr="00693F69">
              <w:rPr>
                <w:rStyle w:val="Hyperlink"/>
                <w:rFonts w:eastAsiaTheme="majorEastAsia"/>
                <w:noProof/>
              </w:rPr>
              <w:t>Appendix 4: Charts extracted from Excel workbook</w:t>
            </w:r>
            <w:r>
              <w:rPr>
                <w:noProof/>
                <w:webHidden/>
              </w:rPr>
              <w:tab/>
            </w:r>
            <w:r>
              <w:rPr>
                <w:noProof/>
                <w:webHidden/>
              </w:rPr>
              <w:fldChar w:fldCharType="begin"/>
            </w:r>
            <w:r>
              <w:rPr>
                <w:noProof/>
                <w:webHidden/>
              </w:rPr>
              <w:instrText xml:space="preserve"> PAGEREF _Toc227857112 \h </w:instrText>
            </w:r>
            <w:r>
              <w:rPr>
                <w:noProof/>
                <w:webHidden/>
              </w:rPr>
            </w:r>
            <w:r>
              <w:rPr>
                <w:noProof/>
                <w:webHidden/>
              </w:rPr>
              <w:fldChar w:fldCharType="separate"/>
            </w:r>
            <w:r>
              <w:rPr>
                <w:noProof/>
                <w:webHidden/>
              </w:rPr>
              <w:t>15</w:t>
            </w:r>
            <w:r>
              <w:rPr>
                <w:noProof/>
                <w:webHidden/>
              </w:rPr>
              <w:fldChar w:fldCharType="end"/>
            </w:r>
          </w:hyperlink>
        </w:p>
        <w:p w14:paraId="2F52BAFB" w14:textId="1E4C3CF9" w:rsidR="00112E6C" w:rsidRDefault="00112E6C">
          <w:r>
            <w:rPr>
              <w:b/>
              <w:bCs/>
              <w:noProof/>
            </w:rPr>
            <w:fldChar w:fldCharType="end"/>
          </w:r>
        </w:p>
      </w:sdtContent>
    </w:sdt>
    <w:p w14:paraId="43D72867" w14:textId="77777777" w:rsidR="00112E6C" w:rsidRDefault="00112E6C" w:rsidP="0058619F">
      <w:pPr>
        <w:jc w:val="both"/>
      </w:pPr>
    </w:p>
    <w:p w14:paraId="78F3E2A4" w14:textId="77777777" w:rsidR="00112E6C" w:rsidRDefault="00112E6C" w:rsidP="0058619F">
      <w:pPr>
        <w:jc w:val="both"/>
      </w:pPr>
    </w:p>
    <w:p w14:paraId="771A2743" w14:textId="77777777" w:rsidR="00112E6C" w:rsidRDefault="00112E6C" w:rsidP="0058619F">
      <w:pPr>
        <w:jc w:val="both"/>
      </w:pPr>
    </w:p>
    <w:p w14:paraId="49BA4262" w14:textId="77777777" w:rsidR="00112E6C" w:rsidRDefault="00112E6C" w:rsidP="0058619F">
      <w:pPr>
        <w:jc w:val="both"/>
      </w:pPr>
    </w:p>
    <w:p w14:paraId="45EA62EB" w14:textId="77777777" w:rsidR="00112E6C" w:rsidRDefault="00112E6C" w:rsidP="0058619F">
      <w:pPr>
        <w:jc w:val="both"/>
      </w:pPr>
    </w:p>
    <w:p w14:paraId="3083EF68" w14:textId="77777777" w:rsidR="00112E6C" w:rsidRDefault="00112E6C" w:rsidP="0058619F">
      <w:pPr>
        <w:jc w:val="both"/>
      </w:pPr>
    </w:p>
    <w:p w14:paraId="784734A4" w14:textId="77777777" w:rsidR="000E1300" w:rsidRDefault="00000000" w:rsidP="00112E6C">
      <w:pPr>
        <w:pStyle w:val="Heading1"/>
      </w:pPr>
      <w:bookmarkStart w:id="1" w:name="_Toc227857100"/>
      <w:r>
        <w:lastRenderedPageBreak/>
        <w:t>Introduction</w:t>
      </w:r>
      <w:bookmarkEnd w:id="1"/>
    </w:p>
    <w:p w14:paraId="5CBF0793" w14:textId="77777777" w:rsidR="0086656D" w:rsidRDefault="0086656D" w:rsidP="00112E6C">
      <w:pPr>
        <w:jc w:val="both"/>
      </w:pPr>
      <w:r>
        <w:t>Unilever plc is a multinational corporation that deals with consumer goods, in which its products are sold in approximately 190 countries (Unilever, 2026a). The sales movement cannot be used as the sole measure of expansion decisions in this sector. The profitability, liquidity, leverage and cash generation should be evaluated along with ESG performance since the risks and opportunities associated with sustainability may impact cash flows, access to finance and cost of capital (IFRS Foundation, 2025). Ratio analysis is consequently helpful, as it transforms accounting data into decision-making indicators of performance and funding abilities (McLaney, 2017; Phillips et al., 2021).</w:t>
      </w:r>
    </w:p>
    <w:p w14:paraId="0F1016BA" w14:textId="385D8C0A" w:rsidR="0058619F" w:rsidRDefault="0086656D" w:rsidP="00112E6C">
      <w:pPr>
        <w:jc w:val="both"/>
      </w:pPr>
      <w:r>
        <w:t>This report evaluates the recent performance of Unilever in terms of its financial performance, ESG performance, and whether the company is robust enough to grow. It subsequently suggests an eco-friendly growth plan and explains why the most appropriate source of funds is appropriate. The assignment case-study Excel workbook provides all the financial calculations, ratios and chart interpretations as opposed to live published Unilever financial statement numbers.</w:t>
      </w:r>
    </w:p>
    <w:p w14:paraId="77FDBB32" w14:textId="77777777" w:rsidR="00112E6C" w:rsidRDefault="00112E6C" w:rsidP="00112E6C">
      <w:pPr>
        <w:jc w:val="both"/>
      </w:pPr>
    </w:p>
    <w:p w14:paraId="5520912B" w14:textId="77777777" w:rsidR="000E1300" w:rsidRDefault="00000000" w:rsidP="00112E6C">
      <w:pPr>
        <w:pStyle w:val="Heading1"/>
      </w:pPr>
      <w:bookmarkStart w:id="2" w:name="_Toc227857101"/>
      <w:r>
        <w:t>Financial Performance Analysis</w:t>
      </w:r>
      <w:bookmarkEnd w:id="2"/>
    </w:p>
    <w:p w14:paraId="5D6E07F8" w14:textId="77777777" w:rsidR="000E1300" w:rsidRDefault="00000000" w:rsidP="00112E6C">
      <w:r>
        <w:rPr>
          <w:b/>
        </w:rPr>
        <w:t>Table 1. Selected financial indicators from the Excel workbook</w:t>
      </w:r>
    </w:p>
    <w:tbl>
      <w:tblPr>
        <w:tblStyle w:val="TableGrid"/>
        <w:tblW w:w="0" w:type="auto"/>
        <w:jc w:val="center"/>
        <w:tblLook w:val="04A0" w:firstRow="1" w:lastRow="0" w:firstColumn="1" w:lastColumn="0" w:noHBand="0" w:noVBand="1"/>
      </w:tblPr>
      <w:tblGrid>
        <w:gridCol w:w="3009"/>
        <w:gridCol w:w="3009"/>
        <w:gridCol w:w="3009"/>
      </w:tblGrid>
      <w:tr w:rsidR="000E1300" w14:paraId="5BE1C66A" w14:textId="77777777">
        <w:trPr>
          <w:jc w:val="center"/>
        </w:trPr>
        <w:tc>
          <w:tcPr>
            <w:tcW w:w="3009" w:type="dxa"/>
            <w:shd w:val="clear" w:color="auto" w:fill="D9EAF7"/>
            <w:vAlign w:val="center"/>
          </w:tcPr>
          <w:p w14:paraId="61349DC4" w14:textId="77777777" w:rsidR="000E1300" w:rsidRDefault="00000000" w:rsidP="00112E6C">
            <w:pPr>
              <w:jc w:val="center"/>
            </w:pPr>
            <w:r>
              <w:rPr>
                <w:b/>
                <w:sz w:val="22"/>
              </w:rPr>
              <w:t>Indicator</w:t>
            </w:r>
          </w:p>
        </w:tc>
        <w:tc>
          <w:tcPr>
            <w:tcW w:w="3009" w:type="dxa"/>
            <w:shd w:val="clear" w:color="auto" w:fill="D9EAF7"/>
            <w:vAlign w:val="center"/>
          </w:tcPr>
          <w:p w14:paraId="3A955EE4" w14:textId="77777777" w:rsidR="000E1300" w:rsidRDefault="00000000" w:rsidP="00112E6C">
            <w:pPr>
              <w:jc w:val="center"/>
            </w:pPr>
            <w:r>
              <w:rPr>
                <w:b/>
                <w:sz w:val="22"/>
              </w:rPr>
              <w:t>2024</w:t>
            </w:r>
          </w:p>
        </w:tc>
        <w:tc>
          <w:tcPr>
            <w:tcW w:w="3009" w:type="dxa"/>
            <w:shd w:val="clear" w:color="auto" w:fill="D9EAF7"/>
            <w:vAlign w:val="center"/>
          </w:tcPr>
          <w:p w14:paraId="0F661FE1" w14:textId="77777777" w:rsidR="000E1300" w:rsidRDefault="00000000" w:rsidP="00112E6C">
            <w:pPr>
              <w:jc w:val="center"/>
            </w:pPr>
            <w:r>
              <w:rPr>
                <w:b/>
                <w:sz w:val="22"/>
              </w:rPr>
              <w:t>2025</w:t>
            </w:r>
          </w:p>
        </w:tc>
      </w:tr>
      <w:tr w:rsidR="000E1300" w14:paraId="57FB66C9" w14:textId="77777777">
        <w:trPr>
          <w:jc w:val="center"/>
        </w:trPr>
        <w:tc>
          <w:tcPr>
            <w:tcW w:w="3009" w:type="dxa"/>
            <w:vAlign w:val="center"/>
          </w:tcPr>
          <w:p w14:paraId="7F85BBE0" w14:textId="77777777" w:rsidR="000E1300" w:rsidRDefault="00000000" w:rsidP="00112E6C">
            <w:r>
              <w:rPr>
                <w:sz w:val="22"/>
              </w:rPr>
              <w:t>Operating Margin</w:t>
            </w:r>
          </w:p>
        </w:tc>
        <w:tc>
          <w:tcPr>
            <w:tcW w:w="3009" w:type="dxa"/>
            <w:vAlign w:val="center"/>
          </w:tcPr>
          <w:p w14:paraId="48858BBE" w14:textId="77777777" w:rsidR="000E1300" w:rsidRDefault="00000000" w:rsidP="00112E6C">
            <w:pPr>
              <w:jc w:val="center"/>
            </w:pPr>
            <w:r>
              <w:rPr>
                <w:sz w:val="22"/>
              </w:rPr>
              <w:t>15.32%</w:t>
            </w:r>
          </w:p>
        </w:tc>
        <w:tc>
          <w:tcPr>
            <w:tcW w:w="3009" w:type="dxa"/>
            <w:vAlign w:val="center"/>
          </w:tcPr>
          <w:p w14:paraId="464ECC2B" w14:textId="77777777" w:rsidR="000E1300" w:rsidRDefault="00000000" w:rsidP="00112E6C">
            <w:pPr>
              <w:jc w:val="center"/>
            </w:pPr>
            <w:r>
              <w:rPr>
                <w:sz w:val="22"/>
              </w:rPr>
              <w:t>16.65%</w:t>
            </w:r>
          </w:p>
        </w:tc>
      </w:tr>
      <w:tr w:rsidR="000E1300" w14:paraId="194CADB7" w14:textId="77777777">
        <w:trPr>
          <w:jc w:val="center"/>
        </w:trPr>
        <w:tc>
          <w:tcPr>
            <w:tcW w:w="3009" w:type="dxa"/>
            <w:vAlign w:val="center"/>
          </w:tcPr>
          <w:p w14:paraId="62A30CB3" w14:textId="77777777" w:rsidR="000E1300" w:rsidRDefault="00000000" w:rsidP="00112E6C">
            <w:r>
              <w:rPr>
                <w:sz w:val="22"/>
              </w:rPr>
              <w:t>Net Margin</w:t>
            </w:r>
          </w:p>
        </w:tc>
        <w:tc>
          <w:tcPr>
            <w:tcW w:w="3009" w:type="dxa"/>
            <w:vAlign w:val="center"/>
          </w:tcPr>
          <w:p w14:paraId="242B2D82" w14:textId="77777777" w:rsidR="000E1300" w:rsidRDefault="00000000" w:rsidP="00112E6C">
            <w:pPr>
              <w:jc w:val="center"/>
            </w:pPr>
            <w:r>
              <w:rPr>
                <w:sz w:val="22"/>
              </w:rPr>
              <w:t>10.46%</w:t>
            </w:r>
          </w:p>
        </w:tc>
        <w:tc>
          <w:tcPr>
            <w:tcW w:w="3009" w:type="dxa"/>
            <w:vAlign w:val="center"/>
          </w:tcPr>
          <w:p w14:paraId="277D9F15" w14:textId="77777777" w:rsidR="000E1300" w:rsidRDefault="00000000" w:rsidP="00112E6C">
            <w:pPr>
              <w:jc w:val="center"/>
            </w:pPr>
            <w:r>
              <w:rPr>
                <w:sz w:val="22"/>
              </w:rPr>
              <w:t>12.11%</w:t>
            </w:r>
          </w:p>
        </w:tc>
      </w:tr>
      <w:tr w:rsidR="000E1300" w14:paraId="49345188" w14:textId="77777777">
        <w:trPr>
          <w:jc w:val="center"/>
        </w:trPr>
        <w:tc>
          <w:tcPr>
            <w:tcW w:w="3009" w:type="dxa"/>
            <w:vAlign w:val="center"/>
          </w:tcPr>
          <w:p w14:paraId="2DB10B17" w14:textId="77777777" w:rsidR="000E1300" w:rsidRDefault="00000000" w:rsidP="00112E6C">
            <w:r>
              <w:rPr>
                <w:sz w:val="22"/>
              </w:rPr>
              <w:t>ROA</w:t>
            </w:r>
          </w:p>
        </w:tc>
        <w:tc>
          <w:tcPr>
            <w:tcW w:w="3009" w:type="dxa"/>
            <w:vAlign w:val="center"/>
          </w:tcPr>
          <w:p w14:paraId="7C034160" w14:textId="77777777" w:rsidR="000E1300" w:rsidRDefault="00000000" w:rsidP="00112E6C">
            <w:pPr>
              <w:jc w:val="center"/>
            </w:pPr>
            <w:r>
              <w:rPr>
                <w:sz w:val="22"/>
              </w:rPr>
              <w:t>7.49%</w:t>
            </w:r>
          </w:p>
        </w:tc>
        <w:tc>
          <w:tcPr>
            <w:tcW w:w="3009" w:type="dxa"/>
            <w:vAlign w:val="center"/>
          </w:tcPr>
          <w:p w14:paraId="23EFFFC8" w14:textId="77777777" w:rsidR="000E1300" w:rsidRDefault="00000000" w:rsidP="00112E6C">
            <w:pPr>
              <w:jc w:val="center"/>
            </w:pPr>
            <w:r>
              <w:rPr>
                <w:sz w:val="22"/>
              </w:rPr>
              <w:t>8.75%</w:t>
            </w:r>
          </w:p>
        </w:tc>
      </w:tr>
      <w:tr w:rsidR="000E1300" w14:paraId="693D6335" w14:textId="77777777">
        <w:trPr>
          <w:jc w:val="center"/>
        </w:trPr>
        <w:tc>
          <w:tcPr>
            <w:tcW w:w="3009" w:type="dxa"/>
            <w:vAlign w:val="center"/>
          </w:tcPr>
          <w:p w14:paraId="772898E2" w14:textId="77777777" w:rsidR="000E1300" w:rsidRDefault="00000000" w:rsidP="00112E6C">
            <w:r>
              <w:rPr>
                <w:sz w:val="22"/>
              </w:rPr>
              <w:t>ROE</w:t>
            </w:r>
          </w:p>
        </w:tc>
        <w:tc>
          <w:tcPr>
            <w:tcW w:w="3009" w:type="dxa"/>
            <w:vAlign w:val="center"/>
          </w:tcPr>
          <w:p w14:paraId="6B7E0511" w14:textId="77777777" w:rsidR="000E1300" w:rsidRDefault="00000000" w:rsidP="00112E6C">
            <w:pPr>
              <w:jc w:val="center"/>
            </w:pPr>
            <w:r>
              <w:rPr>
                <w:sz w:val="22"/>
              </w:rPr>
              <w:t>27.28%</w:t>
            </w:r>
          </w:p>
        </w:tc>
        <w:tc>
          <w:tcPr>
            <w:tcW w:w="3009" w:type="dxa"/>
            <w:vAlign w:val="center"/>
          </w:tcPr>
          <w:p w14:paraId="5C955DD4" w14:textId="77777777" w:rsidR="000E1300" w:rsidRDefault="00000000" w:rsidP="00112E6C">
            <w:pPr>
              <w:jc w:val="center"/>
            </w:pPr>
            <w:r>
              <w:rPr>
                <w:sz w:val="22"/>
              </w:rPr>
              <w:t>32.21%</w:t>
            </w:r>
          </w:p>
        </w:tc>
      </w:tr>
      <w:tr w:rsidR="000E1300" w14:paraId="162DEC7D" w14:textId="77777777">
        <w:trPr>
          <w:jc w:val="center"/>
        </w:trPr>
        <w:tc>
          <w:tcPr>
            <w:tcW w:w="3009" w:type="dxa"/>
            <w:vAlign w:val="center"/>
          </w:tcPr>
          <w:p w14:paraId="7313D63F" w14:textId="77777777" w:rsidR="000E1300" w:rsidRDefault="00000000" w:rsidP="00112E6C">
            <w:r>
              <w:rPr>
                <w:sz w:val="22"/>
              </w:rPr>
              <w:t>Current Ratio</w:t>
            </w:r>
          </w:p>
        </w:tc>
        <w:tc>
          <w:tcPr>
            <w:tcW w:w="3009" w:type="dxa"/>
            <w:vAlign w:val="center"/>
          </w:tcPr>
          <w:p w14:paraId="5B0F219A" w14:textId="77777777" w:rsidR="000E1300" w:rsidRDefault="00000000" w:rsidP="00112E6C">
            <w:pPr>
              <w:jc w:val="center"/>
            </w:pPr>
            <w:r>
              <w:rPr>
                <w:sz w:val="22"/>
              </w:rPr>
              <w:t>0.82</w:t>
            </w:r>
          </w:p>
        </w:tc>
        <w:tc>
          <w:tcPr>
            <w:tcW w:w="3009" w:type="dxa"/>
            <w:vAlign w:val="center"/>
          </w:tcPr>
          <w:p w14:paraId="6E88EE61" w14:textId="77777777" w:rsidR="000E1300" w:rsidRDefault="00000000" w:rsidP="00112E6C">
            <w:pPr>
              <w:jc w:val="center"/>
            </w:pPr>
            <w:r>
              <w:rPr>
                <w:sz w:val="22"/>
              </w:rPr>
              <w:t>0.80</w:t>
            </w:r>
          </w:p>
        </w:tc>
      </w:tr>
      <w:tr w:rsidR="000E1300" w14:paraId="6F537898" w14:textId="77777777">
        <w:trPr>
          <w:jc w:val="center"/>
        </w:trPr>
        <w:tc>
          <w:tcPr>
            <w:tcW w:w="3009" w:type="dxa"/>
            <w:vAlign w:val="center"/>
          </w:tcPr>
          <w:p w14:paraId="7AD62470" w14:textId="77777777" w:rsidR="000E1300" w:rsidRDefault="00000000" w:rsidP="00112E6C">
            <w:r>
              <w:rPr>
                <w:sz w:val="22"/>
              </w:rPr>
              <w:lastRenderedPageBreak/>
              <w:t>Quick Ratio</w:t>
            </w:r>
          </w:p>
        </w:tc>
        <w:tc>
          <w:tcPr>
            <w:tcW w:w="3009" w:type="dxa"/>
            <w:vAlign w:val="center"/>
          </w:tcPr>
          <w:p w14:paraId="0440E343" w14:textId="77777777" w:rsidR="000E1300" w:rsidRDefault="00000000" w:rsidP="00112E6C">
            <w:pPr>
              <w:jc w:val="center"/>
            </w:pPr>
            <w:r>
              <w:rPr>
                <w:sz w:val="22"/>
              </w:rPr>
              <w:t>0.55</w:t>
            </w:r>
          </w:p>
        </w:tc>
        <w:tc>
          <w:tcPr>
            <w:tcW w:w="3009" w:type="dxa"/>
            <w:vAlign w:val="center"/>
          </w:tcPr>
          <w:p w14:paraId="485B3D82" w14:textId="77777777" w:rsidR="000E1300" w:rsidRDefault="00000000" w:rsidP="00112E6C">
            <w:pPr>
              <w:jc w:val="center"/>
            </w:pPr>
            <w:r>
              <w:rPr>
                <w:sz w:val="22"/>
              </w:rPr>
              <w:t>0.54</w:t>
            </w:r>
          </w:p>
        </w:tc>
      </w:tr>
      <w:tr w:rsidR="000E1300" w14:paraId="0842F168" w14:textId="77777777">
        <w:trPr>
          <w:jc w:val="center"/>
        </w:trPr>
        <w:tc>
          <w:tcPr>
            <w:tcW w:w="3009" w:type="dxa"/>
            <w:vAlign w:val="center"/>
          </w:tcPr>
          <w:p w14:paraId="70464D49" w14:textId="77777777" w:rsidR="000E1300" w:rsidRDefault="00000000" w:rsidP="00112E6C">
            <w:r>
              <w:rPr>
                <w:sz w:val="22"/>
              </w:rPr>
              <w:t>Debt-to-Equity</w:t>
            </w:r>
          </w:p>
        </w:tc>
        <w:tc>
          <w:tcPr>
            <w:tcW w:w="3009" w:type="dxa"/>
            <w:vAlign w:val="center"/>
          </w:tcPr>
          <w:p w14:paraId="540FE347" w14:textId="77777777" w:rsidR="000E1300" w:rsidRDefault="00000000" w:rsidP="00112E6C">
            <w:pPr>
              <w:jc w:val="center"/>
            </w:pPr>
            <w:r>
              <w:rPr>
                <w:sz w:val="22"/>
              </w:rPr>
              <w:t>1.42</w:t>
            </w:r>
          </w:p>
        </w:tc>
        <w:tc>
          <w:tcPr>
            <w:tcW w:w="3009" w:type="dxa"/>
            <w:vAlign w:val="center"/>
          </w:tcPr>
          <w:p w14:paraId="008EFB14" w14:textId="77777777" w:rsidR="000E1300" w:rsidRDefault="00000000" w:rsidP="00112E6C">
            <w:pPr>
              <w:jc w:val="center"/>
            </w:pPr>
            <w:r>
              <w:rPr>
                <w:sz w:val="22"/>
              </w:rPr>
              <w:t>1.41</w:t>
            </w:r>
          </w:p>
        </w:tc>
      </w:tr>
      <w:tr w:rsidR="000E1300" w14:paraId="370A5F31" w14:textId="77777777">
        <w:trPr>
          <w:jc w:val="center"/>
        </w:trPr>
        <w:tc>
          <w:tcPr>
            <w:tcW w:w="3009" w:type="dxa"/>
            <w:vAlign w:val="center"/>
          </w:tcPr>
          <w:p w14:paraId="0B33CCAC" w14:textId="77777777" w:rsidR="000E1300" w:rsidRDefault="00000000" w:rsidP="00112E6C">
            <w:r>
              <w:rPr>
                <w:sz w:val="22"/>
              </w:rPr>
              <w:t>Free Cash Flow Margin</w:t>
            </w:r>
          </w:p>
        </w:tc>
        <w:tc>
          <w:tcPr>
            <w:tcW w:w="3009" w:type="dxa"/>
            <w:vAlign w:val="center"/>
          </w:tcPr>
          <w:p w14:paraId="5D3F8FB4" w14:textId="77777777" w:rsidR="000E1300" w:rsidRDefault="00000000" w:rsidP="00112E6C">
            <w:pPr>
              <w:jc w:val="center"/>
            </w:pPr>
            <w:r>
              <w:rPr>
                <w:sz w:val="22"/>
              </w:rPr>
              <w:t>12.41%</w:t>
            </w:r>
          </w:p>
        </w:tc>
        <w:tc>
          <w:tcPr>
            <w:tcW w:w="3009" w:type="dxa"/>
            <w:vAlign w:val="center"/>
          </w:tcPr>
          <w:p w14:paraId="6A78CAD6" w14:textId="77777777" w:rsidR="000E1300" w:rsidRDefault="00000000" w:rsidP="00112E6C">
            <w:pPr>
              <w:jc w:val="center"/>
            </w:pPr>
            <w:r>
              <w:rPr>
                <w:sz w:val="22"/>
              </w:rPr>
              <w:t>13.47%</w:t>
            </w:r>
          </w:p>
        </w:tc>
      </w:tr>
    </w:tbl>
    <w:p w14:paraId="23F2A069" w14:textId="77777777" w:rsidR="000E1300" w:rsidRDefault="000E1300" w:rsidP="00112E6C"/>
    <w:p w14:paraId="0718F1E1" w14:textId="77777777" w:rsidR="009F32EF" w:rsidRDefault="009F32EF" w:rsidP="00112E6C">
      <w:r>
        <w:t>The workbook is most indicative of the fact that profitability increased even when revenue was lower. Revenue fell by £2,440m, or 4.2%, from £58,420m in 2024 to £55,980m in 2025. But operating profit and net profit increased by 370m and 670m respectively. This increased the operating margin by 15.32 to 16.65 and net margin by 10.46 to 12.11 which means that it has a better management of costs and a better conversion of earnings. The returns also got much better: ROA rose to 8.75% and ROE to 32.21. The asset turnover was generally stable at 0.72, thus the growth was primarily due to a better quality of margin and not due to an increase in sales productivity. The quality of the profit improvement is supported by the increase in the free cash flow that increased to a level of 7,250m and 7,540m and the increase in the free cash flow margin to 12.41 to 13.47.</w:t>
      </w:r>
    </w:p>
    <w:p w14:paraId="2C27D2B4" w14:textId="77777777" w:rsidR="009F32EF" w:rsidRDefault="009F32EF" w:rsidP="00112E6C">
      <w:r>
        <w:t>The biggest weakness was liquidity. The current ratio reduced to 0.80 and a quick ratio to 0.54 compared to 0.82 and 0.55 respectively in the past two years; both remained lower than 1. This does not necessarily mean that a large consumer goods business having a disciplined working-capital management is in distress, but it does reflect minimal short-term headroom. The decreased current assets reduced flexibility, that is, expansion should not involve large up-front commitments or long payback periods (Shields, 2020).</w:t>
      </w:r>
    </w:p>
    <w:p w14:paraId="1ECBCD86" w14:textId="77777777" w:rsidR="009F32EF" w:rsidRDefault="009F32EF" w:rsidP="00112E6C">
      <w:r>
        <w:t xml:space="preserve">The leverage only increased slightly and was material in general. Total debt fell from £31,800m to £29,600m, debt-to-equity eased from 1.42 to 1.41, and debt-to-capital from 58.67% to 58.44%. Nevertheless, the debt ratio slightly increased to 72.82% when compared with 72.55% indicating that liabilities continued to fund the majority of the asset base. What </w:t>
      </w:r>
      <w:r>
        <w:lastRenderedPageBreak/>
        <w:t xml:space="preserve">is important is that the assets and equity were decreased as well hence reduced debt did not change the capital structure. </w:t>
      </w:r>
    </w:p>
    <w:p w14:paraId="6F697AC3" w14:textId="77777777" w:rsidR="009F32EF" w:rsidRDefault="009F32EF" w:rsidP="00112E6C">
      <w:r>
        <w:t>Generally, the workbook makes a balanced conclusion. Greater profitability, returns and cash generation help growth in theory, yet poor liquidity and material leverage still imply the proper course of action is selective, staged growth as opposed to rapid scaling.</w:t>
      </w:r>
    </w:p>
    <w:p w14:paraId="2D3352A3" w14:textId="7227528C" w:rsidR="0058619F" w:rsidRDefault="009F32EF" w:rsidP="00112E6C">
      <w:r>
        <w:t xml:space="preserve">The Excel chart set which was used to arrive at these conclusions is reproduced in </w:t>
      </w:r>
      <w:hyperlink w:anchor="_Appendix_4:_Charts" w:history="1">
        <w:r w:rsidRPr="00112E6C">
          <w:rPr>
            <w:rStyle w:val="Hyperlink"/>
          </w:rPr>
          <w:t>Appendix 4.</w:t>
        </w:r>
      </w:hyperlink>
    </w:p>
    <w:p w14:paraId="0A11A647" w14:textId="77777777" w:rsidR="00112E6C" w:rsidRDefault="00112E6C" w:rsidP="00112E6C"/>
    <w:p w14:paraId="3FBA4C0F" w14:textId="77777777" w:rsidR="000E1300" w:rsidRDefault="00000000" w:rsidP="00112E6C">
      <w:pPr>
        <w:pStyle w:val="Heading1"/>
      </w:pPr>
      <w:bookmarkStart w:id="3" w:name="_Toc227857102"/>
      <w:r>
        <w:t>ESG Performance Evaluation</w:t>
      </w:r>
      <w:bookmarkEnd w:id="3"/>
    </w:p>
    <w:p w14:paraId="11C83088" w14:textId="77777777" w:rsidR="00BE0B68" w:rsidRPr="00BE0B68" w:rsidRDefault="00BE0B68" w:rsidP="00112E6C">
      <w:pPr>
        <w:jc w:val="both"/>
        <w:rPr>
          <w:bCs/>
        </w:rPr>
      </w:pPr>
      <w:r w:rsidRPr="00BE0B68">
        <w:rPr>
          <w:bCs/>
        </w:rPr>
        <w:t xml:space="preserve">The ESG performance of Unilever is relevant in financial terms as the sustainability concerns can determine the regulation, supply resilience, efficiency in operation, reputation and financing situation (Friede, Busch and Bassen, 2015; Giese et al., 2019). The most apparent strength in the environmental sense is that of operational climate progress. Unilever also notes a 72% decrease in the scope 1 and 2 emissions compared to its 2015 base and still has a 2030 operational </w:t>
      </w:r>
      <w:proofErr w:type="spellStart"/>
      <w:r w:rsidRPr="00BE0B68">
        <w:rPr>
          <w:bCs/>
        </w:rPr>
        <w:t>decarbonisation</w:t>
      </w:r>
      <w:proofErr w:type="spellEnd"/>
      <w:r w:rsidRPr="00BE0B68">
        <w:rPr>
          <w:bCs/>
        </w:rPr>
        <w:t xml:space="preserve"> target, and its overall climate ambition is also value chain-wide (Unilever, 2025a; Unilever, 2026b; Unilever, 2024). This reduces operations transition risk. Scope 3 however is more difficult: in comparison with the year 2021, Unilever shows a decrease in FLAG emissions of approximately 14% and energy and industrial emissions of approximately 8% which is a good move, yet still in its infancy (Unilever, 2025a).</w:t>
      </w:r>
    </w:p>
    <w:p w14:paraId="72948F14" w14:textId="77777777" w:rsidR="00BE0B68" w:rsidRPr="00BE0B68" w:rsidRDefault="00BE0B68" w:rsidP="00112E6C">
      <w:pPr>
        <w:jc w:val="both"/>
        <w:rPr>
          <w:bCs/>
        </w:rPr>
      </w:pPr>
      <w:r w:rsidRPr="00BE0B68">
        <w:rPr>
          <w:bCs/>
        </w:rPr>
        <w:t xml:space="preserve">Resilience is also aided by packaging and sourcing performance although there are limits to this. The ESG evidence workbook indicates approximately 23% decrease in the use of virgin plastic compared to the 2019 base with a target of 30% by 2026, which depicts a plausible progress of circular packaging but does not completely tackle the plastic issue (Unilever, 2026b; Unilever, 2025c). Similarly, 100% deforestation-free sourcing of major products </w:t>
      </w:r>
      <w:r w:rsidRPr="00BE0B68">
        <w:rPr>
          <w:bCs/>
        </w:rPr>
        <w:lastRenderedPageBreak/>
        <w:t>affects reputational and supply-chain risk minimally, but even the residual difference does count in the highly-inspected global value chain (Unilever, 2025b; Unilever, 2026b).</w:t>
      </w:r>
    </w:p>
    <w:p w14:paraId="6172B877" w14:textId="23DA8489" w:rsidR="00BE0B68" w:rsidRDefault="00BE0B68" w:rsidP="00112E6C">
      <w:pPr>
        <w:jc w:val="both"/>
        <w:rPr>
          <w:bCs/>
        </w:rPr>
      </w:pPr>
      <w:r w:rsidRPr="00BE0B68">
        <w:rPr>
          <w:bCs/>
        </w:rPr>
        <w:t xml:space="preserve">Unilever smallholder, supplier and livelihoods </w:t>
      </w:r>
      <w:proofErr w:type="spellStart"/>
      <w:r w:rsidRPr="00BE0B68">
        <w:rPr>
          <w:bCs/>
        </w:rPr>
        <w:t>programmes</w:t>
      </w:r>
      <w:proofErr w:type="spellEnd"/>
      <w:r w:rsidRPr="00BE0B68">
        <w:rPr>
          <w:bCs/>
        </w:rPr>
        <w:t xml:space="preserve"> help to build value-chain resiliency and build trust within the stakeholders socially and </w:t>
      </w:r>
      <w:proofErr w:type="spellStart"/>
      <w:r w:rsidRPr="00BE0B68">
        <w:rPr>
          <w:bCs/>
        </w:rPr>
        <w:t>organisationally</w:t>
      </w:r>
      <w:proofErr w:type="spellEnd"/>
      <w:r w:rsidRPr="00BE0B68">
        <w:rPr>
          <w:bCs/>
        </w:rPr>
        <w:t>, but social results are less measurable, compared to carbon or packaging outcomes (Unilever, 2025d; Unilever, 2026b). The governance is even better: sustainability reporting is part and parcel of the annual reporting system, and is prepared in accordance with ESRS, external limited assurance is applied, and board and committee arrangements manage it; the elements of executive reward are also linked to sustainability performance (Unilever, 2026a; Unilever, 2026b). That enhances transparency and accountability, but good disclosure is not enough to deliver. On the whole, ESG helps to expand in those cases when growth decisions are also aimed at enhancing operational resilience.</w:t>
      </w:r>
    </w:p>
    <w:p w14:paraId="317DC9E8" w14:textId="77777777" w:rsidR="00112E6C" w:rsidRDefault="00112E6C" w:rsidP="00112E6C">
      <w:pPr>
        <w:jc w:val="both"/>
      </w:pPr>
    </w:p>
    <w:p w14:paraId="71531017" w14:textId="77777777" w:rsidR="000E1300" w:rsidRDefault="00000000" w:rsidP="00112E6C">
      <w:pPr>
        <w:pStyle w:val="Heading1"/>
      </w:pPr>
      <w:bookmarkStart w:id="4" w:name="_Toc227857103"/>
      <w:r>
        <w:t>Sustainable Expansion Strategy and Recommendations</w:t>
      </w:r>
      <w:bookmarkEnd w:id="4"/>
    </w:p>
    <w:p w14:paraId="63A2D65A" w14:textId="77777777" w:rsidR="00C81AE7" w:rsidRDefault="00C81AE7" w:rsidP="00112E6C">
      <w:pPr>
        <w:jc w:val="both"/>
      </w:pPr>
      <w:r>
        <w:t>Selective sustainable expansion in markets, channels, and operating models where Unilever can build on the existing brand strength and supply-chain capacity, but not overburden the balance sheet, is recommended. Practically, this will entail staged expansion based on reduced-carbon operations, circular packaging, supply-chain visibility through digital means, and responsible sourcing collaborations instead of scale through acquisition.</w:t>
      </w:r>
    </w:p>
    <w:p w14:paraId="7B2BC7F8" w14:textId="77777777" w:rsidR="00C81AE7" w:rsidRDefault="00C81AE7" w:rsidP="00112E6C">
      <w:pPr>
        <w:jc w:val="both"/>
      </w:pPr>
      <w:r>
        <w:t xml:space="preserve">This makes economic sense since the workbook demonstrates greater margins and cash flow despite decreasing revenue; the company ought to focus on growth that safeguard economics and not volume. It is also in line with ESG priorities which minimize packaging, sourcing and climate risk and promotes regulatory preparedness and stakeholder confidence. The main </w:t>
      </w:r>
      <w:r>
        <w:lastRenderedPageBreak/>
        <w:t>advantages are that it is likely to be resilient against the margin, reduce the likelihood of disruption and enhance access to the market over a long term.</w:t>
      </w:r>
    </w:p>
    <w:p w14:paraId="2AB8BD8A" w14:textId="6FBDAC02" w:rsidR="00BE0B68" w:rsidRDefault="00C81AE7" w:rsidP="00112E6C">
      <w:pPr>
        <w:jc w:val="both"/>
      </w:pPr>
      <w:r>
        <w:t>The major risks include slower consumer adoption, unequal supplier preparedness, and the potential to have ESG-related capital expenditure to undermine short-term returns. These risks must be addressed with stage-gated pilots, high investment hurdles, localization of sourcing and packaging strategies and frequent examination of liquidity and leverage prior to the approval of each growth stage.</w:t>
      </w:r>
    </w:p>
    <w:p w14:paraId="399E349A" w14:textId="77777777" w:rsidR="00112E6C" w:rsidRDefault="00112E6C" w:rsidP="00112E6C">
      <w:pPr>
        <w:jc w:val="both"/>
      </w:pPr>
    </w:p>
    <w:p w14:paraId="1E0F39B3" w14:textId="77777777" w:rsidR="000E1300" w:rsidRDefault="00000000" w:rsidP="00112E6C">
      <w:pPr>
        <w:pStyle w:val="Heading1"/>
      </w:pPr>
      <w:bookmarkStart w:id="5" w:name="_Toc227857104"/>
      <w:r>
        <w:t>Justification of Source of Finance</w:t>
      </w:r>
      <w:bookmarkEnd w:id="5"/>
    </w:p>
    <w:p w14:paraId="202D890F" w14:textId="77777777" w:rsidR="0027171A" w:rsidRDefault="0027171A" w:rsidP="00112E6C">
      <w:pPr>
        <w:jc w:val="both"/>
      </w:pPr>
      <w:r>
        <w:t>Internal funding, particularly retained cash generation and free cash flow is the preferred financing source, topped by sustainability-linked borrowing as a secondary source of preferred ESG capital projects. This is consistent with the financial data: The free cash flow enhanced in 2025 and the free cash flow ratio increased, indicating that Unilever is able to finance disciplined growth without the need to dilute its shareholders unnecessarily.</w:t>
      </w:r>
    </w:p>
    <w:p w14:paraId="2D344B4F" w14:textId="43836D56" w:rsidR="00BE0B68" w:rsidRDefault="0027171A" w:rsidP="00112E6C">
      <w:pPr>
        <w:jc w:val="both"/>
      </w:pPr>
      <w:r>
        <w:t>Even the ring-fenced investments (e.g., renewable energy, traceability system or conversion of packaging to a circle) could still be suited to limited sustainability-linked or green debt. But, the aggressive growth through debt financing would be dangerous since the two liquidity ratios are below 1 and overall leverage is significant. A big issue of equity is not so appealing at this point: it is not impossible, but seems to be unnecessary and even dilutive compared to the cash-generating characteristics of the company as of now.</w:t>
      </w:r>
    </w:p>
    <w:p w14:paraId="229EF695" w14:textId="77777777" w:rsidR="00112E6C" w:rsidRDefault="00112E6C" w:rsidP="00112E6C">
      <w:pPr>
        <w:jc w:val="both"/>
      </w:pPr>
    </w:p>
    <w:p w14:paraId="3562AA49" w14:textId="77777777" w:rsidR="000E1300" w:rsidRDefault="00000000" w:rsidP="00112E6C">
      <w:pPr>
        <w:pStyle w:val="Heading1"/>
      </w:pPr>
      <w:bookmarkStart w:id="6" w:name="_Toc227857105"/>
      <w:r>
        <w:t>Conclusion</w:t>
      </w:r>
      <w:bookmarkEnd w:id="6"/>
    </w:p>
    <w:p w14:paraId="0C151FB9" w14:textId="5148916D" w:rsidR="00BE0B68" w:rsidRDefault="00530008" w:rsidP="00112E6C">
      <w:pPr>
        <w:jc w:val="both"/>
      </w:pPr>
      <w:r w:rsidRPr="00530008">
        <w:t xml:space="preserve">The financial performance of Unilever in its case-study indicates the company has a high-quality of earnings, higher returns and a better cash generation despite the poor revenue. That </w:t>
      </w:r>
      <w:r w:rsidRPr="00530008">
        <w:lastRenderedPageBreak/>
        <w:t>will favor growth, yet on austere conditions. The liquidity was poor and leverage was substantial, thus the balance sheet is not a reason to pursue aggressive growth with high levels of debt. Climate progress and disclosure quality, packaging transition and responsible sourcing are a real strategic strength of ESG performance but there are gaps in execution, in particular scope 3 and supply-chain complexity. Unilever is thus positioning well enough to grow provided it is a gradual growth, cash-wise and closely linked to resilience and ESG provision.</w:t>
      </w:r>
    </w:p>
    <w:p w14:paraId="3ECA97AE" w14:textId="77777777" w:rsidR="00112E6C" w:rsidRDefault="00112E6C" w:rsidP="00112E6C">
      <w:pPr>
        <w:jc w:val="both"/>
      </w:pPr>
    </w:p>
    <w:p w14:paraId="10A66EC3" w14:textId="77777777" w:rsidR="000E1300" w:rsidRDefault="00000000" w:rsidP="00112E6C">
      <w:pPr>
        <w:pStyle w:val="Heading1"/>
      </w:pPr>
      <w:bookmarkStart w:id="7" w:name="_Toc227857106"/>
      <w:r>
        <w:t>Actionable Recommendations</w:t>
      </w:r>
      <w:bookmarkEnd w:id="7"/>
    </w:p>
    <w:p w14:paraId="58FE3DC7" w14:textId="0684C285" w:rsidR="00B32ED6" w:rsidRPr="00A12E7E" w:rsidRDefault="00B32ED6" w:rsidP="00112E6C">
      <w:pPr>
        <w:pStyle w:val="ListParagraph"/>
        <w:numPr>
          <w:ilvl w:val="0"/>
          <w:numId w:val="11"/>
        </w:numPr>
        <w:rPr>
          <w:bCs/>
        </w:rPr>
      </w:pPr>
      <w:r w:rsidRPr="00A12E7E">
        <w:rPr>
          <w:bCs/>
        </w:rPr>
        <w:t>Only allow phased expansion projects to be approved and released at specific margin, cash payback and working-capital criteria.</w:t>
      </w:r>
    </w:p>
    <w:p w14:paraId="2C94DB5A" w14:textId="3EDC3417" w:rsidR="00B32ED6" w:rsidRPr="00A12E7E" w:rsidRDefault="00B32ED6" w:rsidP="00112E6C">
      <w:pPr>
        <w:pStyle w:val="ListParagraph"/>
        <w:numPr>
          <w:ilvl w:val="0"/>
          <w:numId w:val="11"/>
        </w:numPr>
        <w:rPr>
          <w:bCs/>
        </w:rPr>
      </w:pPr>
      <w:r w:rsidRPr="00A12E7E">
        <w:rPr>
          <w:bCs/>
        </w:rPr>
        <w:t>Focus on channel and market expansion where the current brands, sourcing and distribution capacity minimize the execution risk and capital intensity.</w:t>
      </w:r>
    </w:p>
    <w:p w14:paraId="65AFE04A" w14:textId="77777777" w:rsidR="00B32ED6" w:rsidRPr="00A12E7E" w:rsidRDefault="00B32ED6" w:rsidP="00112E6C">
      <w:pPr>
        <w:pStyle w:val="ListParagraph"/>
        <w:numPr>
          <w:ilvl w:val="0"/>
          <w:numId w:val="11"/>
        </w:numPr>
        <w:rPr>
          <w:bCs/>
        </w:rPr>
      </w:pPr>
      <w:r w:rsidRPr="00A12E7E">
        <w:rPr>
          <w:bCs/>
        </w:rPr>
        <w:t xml:space="preserve">Beyond that: Finance the core </w:t>
      </w:r>
      <w:proofErr w:type="spellStart"/>
      <w:r w:rsidRPr="00A12E7E">
        <w:rPr>
          <w:bCs/>
        </w:rPr>
        <w:t>programme</w:t>
      </w:r>
      <w:proofErr w:type="spellEnd"/>
      <w:r w:rsidRPr="00A12E7E">
        <w:rPr>
          <w:bCs/>
        </w:rPr>
        <w:t xml:space="preserve"> predominantly using retained cash generation and free cash flow and reserve sustainability-linked debt to finance ring-fenced low-carbon and circular-packaging projects.</w:t>
      </w:r>
    </w:p>
    <w:p w14:paraId="273C537F" w14:textId="1323C1FC" w:rsidR="00B32ED6" w:rsidRPr="00A12E7E" w:rsidRDefault="00B32ED6" w:rsidP="00112E6C">
      <w:pPr>
        <w:pStyle w:val="ListParagraph"/>
        <w:numPr>
          <w:ilvl w:val="0"/>
          <w:numId w:val="11"/>
        </w:numPr>
        <w:rPr>
          <w:bCs/>
        </w:rPr>
      </w:pPr>
      <w:r w:rsidRPr="00A12E7E">
        <w:rPr>
          <w:bCs/>
        </w:rPr>
        <w:t>Commercial capabilities, rather than compliance measures, in plans to enter a new market include: use packaging redesign, recycled content, refill systems and supplier traceability.</w:t>
      </w:r>
    </w:p>
    <w:p w14:paraId="505BF618" w14:textId="5E21E63A" w:rsidR="00B32ED6" w:rsidRPr="00A12E7E" w:rsidRDefault="00B32ED6" w:rsidP="00112E6C">
      <w:pPr>
        <w:pStyle w:val="ListParagraph"/>
        <w:numPr>
          <w:ilvl w:val="0"/>
          <w:numId w:val="11"/>
        </w:numPr>
        <w:rPr>
          <w:bCs/>
        </w:rPr>
      </w:pPr>
      <w:r w:rsidRPr="00A12E7E">
        <w:rPr>
          <w:bCs/>
        </w:rPr>
        <w:t>Intensify liquidity, debt-capacity and supplier-readiness monitoring quarterly to ensure expansion rate may be reduced in case pressure on the balance sheet increases.</w:t>
      </w:r>
    </w:p>
    <w:p w14:paraId="6C3CAFA8" w14:textId="17BF854D" w:rsidR="00BE0B68" w:rsidRPr="00A12E7E" w:rsidRDefault="00B32ED6" w:rsidP="00112E6C">
      <w:pPr>
        <w:pStyle w:val="ListParagraph"/>
        <w:numPr>
          <w:ilvl w:val="0"/>
          <w:numId w:val="11"/>
        </w:numPr>
        <w:rPr>
          <w:bCs/>
        </w:rPr>
      </w:pPr>
      <w:r w:rsidRPr="00A12E7E">
        <w:rPr>
          <w:bCs/>
        </w:rPr>
        <w:t>Have governance discipline through connecting expansion milestones with ESG, risk-management and disclosure metrics and not just revenue growth.</w:t>
      </w:r>
    </w:p>
    <w:p w14:paraId="7FAA6E19" w14:textId="77777777" w:rsidR="00BE0B68" w:rsidRPr="00112E6C" w:rsidRDefault="00BE0B68" w:rsidP="00112E6C"/>
    <w:p w14:paraId="126F655C" w14:textId="77777777" w:rsidR="000E1300" w:rsidRDefault="00000000" w:rsidP="00112E6C">
      <w:pPr>
        <w:pStyle w:val="Heading1"/>
      </w:pPr>
      <w:bookmarkStart w:id="8" w:name="_Toc227857107"/>
      <w:r>
        <w:lastRenderedPageBreak/>
        <w:t>References</w:t>
      </w:r>
      <w:bookmarkEnd w:id="8"/>
    </w:p>
    <w:p w14:paraId="6AE6904A" w14:textId="77777777" w:rsidR="00A44836" w:rsidRPr="00A44836" w:rsidRDefault="00A44836" w:rsidP="00112E6C">
      <w:r w:rsidRPr="00A44836">
        <w:t xml:space="preserve">Friede, G., Busch, T. and Bassen, A. (2015) ‘ESG and financial performance: aggregated evidence from more than 2000 empirical studies’, </w:t>
      </w:r>
      <w:r w:rsidRPr="00A44836">
        <w:rPr>
          <w:i/>
          <w:iCs/>
        </w:rPr>
        <w:t>Journal of Sustainable Finance &amp; Investment</w:t>
      </w:r>
      <w:r w:rsidRPr="00A44836">
        <w:t xml:space="preserve">, 5(4), pp. 210–233. Available at: </w:t>
      </w:r>
      <w:hyperlink r:id="rId10" w:tgtFrame="_new" w:history="1">
        <w:r w:rsidRPr="00A44836">
          <w:rPr>
            <w:rStyle w:val="Hyperlink"/>
          </w:rPr>
          <w:t>https://doi.org/10.1080/20430795.2015.1118917</w:t>
        </w:r>
      </w:hyperlink>
      <w:r w:rsidRPr="00A44836">
        <w:t>.</w:t>
      </w:r>
    </w:p>
    <w:p w14:paraId="2A3A4CA3" w14:textId="77777777" w:rsidR="00A44836" w:rsidRPr="00A44836" w:rsidRDefault="00A44836" w:rsidP="00112E6C">
      <w:r w:rsidRPr="00A44836">
        <w:t xml:space="preserve">Giese, G., Lee, L.-E., Melas, D., Nagy, Z. and Nishikawa, L. (2019) ‘Foundations of ESG investing: How ESG affects equity valuation, risk, and performance’, </w:t>
      </w:r>
      <w:r w:rsidRPr="00A44836">
        <w:rPr>
          <w:i/>
          <w:iCs/>
        </w:rPr>
        <w:t>The Journal of Portfolio Management</w:t>
      </w:r>
      <w:r w:rsidRPr="00A44836">
        <w:t xml:space="preserve">, 45(5), pp. 69–83. Available at: </w:t>
      </w:r>
      <w:hyperlink r:id="rId11" w:tgtFrame="_new" w:history="1">
        <w:r w:rsidRPr="00A44836">
          <w:rPr>
            <w:rStyle w:val="Hyperlink"/>
          </w:rPr>
          <w:t>https://doi.org/10.3905/jpm.2019.45.5.069</w:t>
        </w:r>
      </w:hyperlink>
      <w:r w:rsidRPr="00A44836">
        <w:t>.</w:t>
      </w:r>
    </w:p>
    <w:p w14:paraId="199AD678" w14:textId="77777777" w:rsidR="00A44836" w:rsidRPr="00A44836" w:rsidRDefault="00A44836" w:rsidP="00112E6C">
      <w:r w:rsidRPr="00A44836">
        <w:t xml:space="preserve">IFRS Foundation (2025) </w:t>
      </w:r>
      <w:r w:rsidRPr="00A44836">
        <w:rPr>
          <w:i/>
          <w:iCs/>
        </w:rPr>
        <w:t>Introduction to the ISSB and IFRS Sustainability Disclosure Standards</w:t>
      </w:r>
      <w:r w:rsidRPr="00A44836">
        <w:t xml:space="preserve">. Available at: </w:t>
      </w:r>
      <w:hyperlink r:id="rId12" w:tgtFrame="_new" w:history="1">
        <w:r w:rsidRPr="00A44836">
          <w:rPr>
            <w:rStyle w:val="Hyperlink"/>
          </w:rPr>
          <w:t>https://www.ifrs.org/sustainability/knowledge-hub/introduction-to-issb-and-ifrs-sustainability-disclosure-standards/</w:t>
        </w:r>
      </w:hyperlink>
      <w:r w:rsidRPr="00A44836">
        <w:t xml:space="preserve"> (Accessed: 23 April 2026).</w:t>
      </w:r>
    </w:p>
    <w:p w14:paraId="6422777C" w14:textId="77777777" w:rsidR="00A44836" w:rsidRPr="00A44836" w:rsidRDefault="00A44836" w:rsidP="00112E6C">
      <w:r w:rsidRPr="00A44836">
        <w:t xml:space="preserve">McLaney, E. (2017) </w:t>
      </w:r>
      <w:r w:rsidRPr="00A44836">
        <w:rPr>
          <w:i/>
          <w:iCs/>
        </w:rPr>
        <w:t>Business Finance</w:t>
      </w:r>
      <w:r w:rsidRPr="00A44836">
        <w:t xml:space="preserve">. 11th </w:t>
      </w:r>
      <w:proofErr w:type="spellStart"/>
      <w:r w:rsidRPr="00A44836">
        <w:t>edn</w:t>
      </w:r>
      <w:proofErr w:type="spellEnd"/>
      <w:r w:rsidRPr="00A44836">
        <w:t>. Harlow: Pearson.</w:t>
      </w:r>
    </w:p>
    <w:p w14:paraId="194EAB3D" w14:textId="77777777" w:rsidR="00A44836" w:rsidRPr="00A44836" w:rsidRDefault="00A44836" w:rsidP="00112E6C">
      <w:r w:rsidRPr="00A44836">
        <w:t xml:space="preserve">Phillips, F., Clor-Proell, S., Libby, R. and Libby, P.A. (2021) </w:t>
      </w:r>
      <w:r w:rsidRPr="00A44836">
        <w:rPr>
          <w:i/>
          <w:iCs/>
        </w:rPr>
        <w:t>Fundamentals of Financial Accounting</w:t>
      </w:r>
      <w:r w:rsidRPr="00A44836">
        <w:t xml:space="preserve">. 7th </w:t>
      </w:r>
      <w:proofErr w:type="spellStart"/>
      <w:r w:rsidRPr="00A44836">
        <w:t>edn</w:t>
      </w:r>
      <w:proofErr w:type="spellEnd"/>
      <w:r w:rsidRPr="00A44836">
        <w:t>. New York: McGraw Hill.</w:t>
      </w:r>
    </w:p>
    <w:p w14:paraId="7A0BF8CE" w14:textId="77777777" w:rsidR="00A44836" w:rsidRPr="00A44836" w:rsidRDefault="00A44836" w:rsidP="00112E6C">
      <w:r w:rsidRPr="00A44836">
        <w:t xml:space="preserve">Shields, G. (2020) </w:t>
      </w:r>
      <w:r w:rsidRPr="00A44836">
        <w:rPr>
          <w:i/>
          <w:iCs/>
        </w:rPr>
        <w:t>Financial Accounting: The Ultimate Guide to Financial Accounting for Beginners Including How to Create and Analyze Financial Statements</w:t>
      </w:r>
      <w:r w:rsidRPr="00A44836">
        <w:t xml:space="preserve">. </w:t>
      </w:r>
      <w:proofErr w:type="spellStart"/>
      <w:r w:rsidRPr="00A44836">
        <w:t>Bravex</w:t>
      </w:r>
      <w:proofErr w:type="spellEnd"/>
      <w:r w:rsidRPr="00A44836">
        <w:t xml:space="preserve"> Publications.</w:t>
      </w:r>
    </w:p>
    <w:p w14:paraId="3854F923" w14:textId="77777777" w:rsidR="00A44836" w:rsidRPr="00A44836" w:rsidRDefault="00A44836" w:rsidP="00112E6C">
      <w:r w:rsidRPr="00A44836">
        <w:t xml:space="preserve">Unilever (2024) </w:t>
      </w:r>
      <w:r w:rsidRPr="00A44836">
        <w:rPr>
          <w:i/>
          <w:iCs/>
        </w:rPr>
        <w:t>Our Climate Transition Action Plan</w:t>
      </w:r>
      <w:r w:rsidRPr="00A44836">
        <w:t xml:space="preserve">. Available at: </w:t>
      </w:r>
      <w:hyperlink r:id="rId13" w:tgtFrame="_new" w:history="1">
        <w:r w:rsidRPr="00A44836">
          <w:rPr>
            <w:rStyle w:val="Hyperlink"/>
          </w:rPr>
          <w:t>https://www.unilever.com/files/8b5df5f6-cb90-40fd-9691-38d06905d81d/unilever-climate-transition-action-plan-updated-2024.pdf</w:t>
        </w:r>
      </w:hyperlink>
      <w:r w:rsidRPr="00A44836">
        <w:t xml:space="preserve"> (Accessed: 23 April 2026).</w:t>
      </w:r>
    </w:p>
    <w:p w14:paraId="2EE688C3" w14:textId="77777777" w:rsidR="00A44836" w:rsidRPr="00A44836" w:rsidRDefault="00A44836" w:rsidP="00112E6C">
      <w:r w:rsidRPr="00A44836">
        <w:t xml:space="preserve">Unilever (2025a) </w:t>
      </w:r>
      <w:r w:rsidRPr="00A44836">
        <w:rPr>
          <w:i/>
          <w:iCs/>
        </w:rPr>
        <w:t>Unilever sees early signs of progress on sustainability goals</w:t>
      </w:r>
      <w:r w:rsidRPr="00A44836">
        <w:t xml:space="preserve">. Available at: </w:t>
      </w:r>
      <w:hyperlink r:id="rId14" w:tgtFrame="_new" w:history="1">
        <w:r w:rsidRPr="00A44836">
          <w:rPr>
            <w:rStyle w:val="Hyperlink"/>
          </w:rPr>
          <w:t>https://www.unilever.com/news/news-search/2025/unilever-sees-early-signs-of-progress-on-sustainability-goals/</w:t>
        </w:r>
      </w:hyperlink>
      <w:r w:rsidRPr="00A44836">
        <w:t xml:space="preserve"> (Accessed: 23 April 2026).</w:t>
      </w:r>
    </w:p>
    <w:p w14:paraId="5D195A88" w14:textId="77777777" w:rsidR="00A44836" w:rsidRPr="00A44836" w:rsidRDefault="00A44836" w:rsidP="00112E6C">
      <w:r w:rsidRPr="00A44836">
        <w:t xml:space="preserve">Unilever (2025b) </w:t>
      </w:r>
      <w:r w:rsidRPr="00A44836">
        <w:rPr>
          <w:i/>
          <w:iCs/>
        </w:rPr>
        <w:t>Our deforestation-free progress</w:t>
      </w:r>
      <w:r w:rsidRPr="00A44836">
        <w:t xml:space="preserve">. Available at: </w:t>
      </w:r>
      <w:hyperlink r:id="rId15" w:tgtFrame="_new" w:history="1">
        <w:r w:rsidRPr="00A44836">
          <w:rPr>
            <w:rStyle w:val="Hyperlink"/>
          </w:rPr>
          <w:t>https://www.unilever.com/sustainability/nature/deforestation-free-supply-chain/our-deforestation-free-progress/</w:t>
        </w:r>
      </w:hyperlink>
      <w:r w:rsidRPr="00A44836">
        <w:t xml:space="preserve"> (Accessed: 23 April 2026).</w:t>
      </w:r>
    </w:p>
    <w:p w14:paraId="30B30E5D" w14:textId="77777777" w:rsidR="00A44836" w:rsidRPr="00A44836" w:rsidRDefault="00A44836" w:rsidP="00112E6C">
      <w:r w:rsidRPr="00A44836">
        <w:lastRenderedPageBreak/>
        <w:t xml:space="preserve">Unilever (2025c) </w:t>
      </w:r>
      <w:r w:rsidRPr="00A44836">
        <w:rPr>
          <w:i/>
          <w:iCs/>
        </w:rPr>
        <w:t>How Unilever is tackling plastic waste</w:t>
      </w:r>
      <w:r w:rsidRPr="00A44836">
        <w:t xml:space="preserve">. Available at: </w:t>
      </w:r>
      <w:hyperlink r:id="rId16" w:tgtFrame="_new" w:history="1">
        <w:r w:rsidRPr="00A44836">
          <w:rPr>
            <w:rStyle w:val="Hyperlink"/>
          </w:rPr>
          <w:t>https://www.unilever.com/sustainability/plastics/</w:t>
        </w:r>
      </w:hyperlink>
      <w:r w:rsidRPr="00A44836">
        <w:t xml:space="preserve"> (Accessed: 23 April 2026).</w:t>
      </w:r>
    </w:p>
    <w:p w14:paraId="603AE265" w14:textId="77777777" w:rsidR="00A44836" w:rsidRPr="00A44836" w:rsidRDefault="00A44836" w:rsidP="00112E6C">
      <w:r w:rsidRPr="00A44836">
        <w:t xml:space="preserve">Unilever (2025d) </w:t>
      </w:r>
      <w:r w:rsidRPr="00A44836">
        <w:rPr>
          <w:i/>
          <w:iCs/>
        </w:rPr>
        <w:t>Improving livelihoods in our global value chain</w:t>
      </w:r>
      <w:r w:rsidRPr="00A44836">
        <w:t xml:space="preserve">. Available at: </w:t>
      </w:r>
      <w:hyperlink r:id="rId17" w:tgtFrame="_new" w:history="1">
        <w:r w:rsidRPr="00A44836">
          <w:rPr>
            <w:rStyle w:val="Hyperlink"/>
          </w:rPr>
          <w:t>https://www.unilever.com/sustainability/livelihoods/</w:t>
        </w:r>
      </w:hyperlink>
      <w:r w:rsidRPr="00A44836">
        <w:t xml:space="preserve"> (Accessed: 23 April 2026).</w:t>
      </w:r>
    </w:p>
    <w:p w14:paraId="4E0C2A03" w14:textId="77777777" w:rsidR="00A44836" w:rsidRPr="00A44836" w:rsidRDefault="00A44836" w:rsidP="00112E6C">
      <w:r w:rsidRPr="00A44836">
        <w:t xml:space="preserve">Unilever (2026a) </w:t>
      </w:r>
      <w:r w:rsidRPr="00A44836">
        <w:rPr>
          <w:i/>
          <w:iCs/>
        </w:rPr>
        <w:t>Annual Report and Accounts 2025</w:t>
      </w:r>
      <w:r w:rsidRPr="00A44836">
        <w:t xml:space="preserve">. Available at: </w:t>
      </w:r>
      <w:hyperlink r:id="rId18" w:tgtFrame="_new" w:history="1">
        <w:r w:rsidRPr="00A44836">
          <w:rPr>
            <w:rStyle w:val="Hyperlink"/>
          </w:rPr>
          <w:t>https://www.unilever.com/files/unilever-annual-report-and-accounts-2025.pdf</w:t>
        </w:r>
      </w:hyperlink>
      <w:r w:rsidRPr="00A44836">
        <w:t xml:space="preserve"> (Accessed: 23 April 2026).</w:t>
      </w:r>
    </w:p>
    <w:p w14:paraId="43B48F74" w14:textId="77777777" w:rsidR="00A44836" w:rsidRPr="00A44836" w:rsidRDefault="00A44836" w:rsidP="00112E6C">
      <w:r w:rsidRPr="00A44836">
        <w:t xml:space="preserve">Unilever (2026b) </w:t>
      </w:r>
      <w:r w:rsidRPr="00A44836">
        <w:rPr>
          <w:i/>
          <w:iCs/>
        </w:rPr>
        <w:t>Unilever Sustainability Statement 2025</w:t>
      </w:r>
      <w:r w:rsidRPr="00A44836">
        <w:t xml:space="preserve">. Available at: </w:t>
      </w:r>
      <w:hyperlink r:id="rId19" w:tgtFrame="_new" w:history="1">
        <w:r w:rsidRPr="00A44836">
          <w:rPr>
            <w:rStyle w:val="Hyperlink"/>
          </w:rPr>
          <w:t>https://www.unilever.com/files/unilever-sustainability-statement.pdf</w:t>
        </w:r>
      </w:hyperlink>
      <w:r w:rsidRPr="00A44836">
        <w:t xml:space="preserve"> (Accessed: 23 April 2026).</w:t>
      </w:r>
    </w:p>
    <w:p w14:paraId="0064B5C0" w14:textId="77777777" w:rsidR="00A44836" w:rsidRDefault="00A44836" w:rsidP="00112E6C"/>
    <w:p w14:paraId="21622ACE" w14:textId="77777777" w:rsidR="00112E6C" w:rsidRDefault="00112E6C" w:rsidP="00112E6C"/>
    <w:p w14:paraId="76B95237" w14:textId="77777777" w:rsidR="00112E6C" w:rsidRDefault="00112E6C" w:rsidP="00112E6C"/>
    <w:p w14:paraId="4D81220C" w14:textId="77777777" w:rsidR="00112E6C" w:rsidRDefault="00112E6C" w:rsidP="00112E6C"/>
    <w:p w14:paraId="2D1AB896" w14:textId="77777777" w:rsidR="00112E6C" w:rsidRDefault="00112E6C" w:rsidP="00112E6C"/>
    <w:p w14:paraId="1DB8B2E7" w14:textId="77777777" w:rsidR="00112E6C" w:rsidRDefault="00112E6C" w:rsidP="00112E6C"/>
    <w:p w14:paraId="03AB81BE" w14:textId="77777777" w:rsidR="00112E6C" w:rsidRDefault="00112E6C" w:rsidP="00112E6C"/>
    <w:p w14:paraId="72F4FBD4" w14:textId="77777777" w:rsidR="00112E6C" w:rsidRDefault="00112E6C" w:rsidP="00112E6C"/>
    <w:p w14:paraId="0510B094" w14:textId="77777777" w:rsidR="00112E6C" w:rsidRDefault="00112E6C" w:rsidP="00112E6C"/>
    <w:p w14:paraId="41099F7F" w14:textId="77777777" w:rsidR="00112E6C" w:rsidRDefault="00112E6C" w:rsidP="00112E6C"/>
    <w:p w14:paraId="7CBC20E3" w14:textId="77777777" w:rsidR="00112E6C" w:rsidRDefault="00112E6C" w:rsidP="00112E6C"/>
    <w:p w14:paraId="54D8814B" w14:textId="77777777" w:rsidR="00112E6C" w:rsidRDefault="00112E6C" w:rsidP="00112E6C"/>
    <w:p w14:paraId="45B1EE70" w14:textId="77777777" w:rsidR="00112E6C" w:rsidRPr="00A44836" w:rsidRDefault="00112E6C" w:rsidP="00112E6C"/>
    <w:p w14:paraId="39D45623" w14:textId="77777777" w:rsidR="000E1300" w:rsidRPr="00112E6C" w:rsidRDefault="00000000" w:rsidP="00112E6C">
      <w:pPr>
        <w:pStyle w:val="Heading1"/>
      </w:pPr>
      <w:bookmarkStart w:id="9" w:name="_Toc227857108"/>
      <w:r w:rsidRPr="00112E6C">
        <w:lastRenderedPageBreak/>
        <w:t>Appendices</w:t>
      </w:r>
      <w:bookmarkEnd w:id="9"/>
    </w:p>
    <w:p w14:paraId="21F9562E" w14:textId="77777777" w:rsidR="000E1300" w:rsidRPr="00112E6C" w:rsidRDefault="00000000" w:rsidP="00112E6C">
      <w:pPr>
        <w:pStyle w:val="Heading2"/>
      </w:pPr>
      <w:bookmarkStart w:id="10" w:name="_Toc227857109"/>
      <w:r w:rsidRPr="00112E6C">
        <w:t>Appendix 1: Ratio calculations from Excel workbook</w:t>
      </w:r>
      <w:bookmarkEnd w:id="10"/>
    </w:p>
    <w:p w14:paraId="756BF7E7" w14:textId="77777777" w:rsidR="000E1300" w:rsidRDefault="00000000" w:rsidP="00112E6C">
      <w:r>
        <w:rPr>
          <w:i/>
        </w:rPr>
        <w:t>All values below are taken from the accompanying Excel workbook and are based on the case-study dataset in £m.</w:t>
      </w:r>
    </w:p>
    <w:tbl>
      <w:tblPr>
        <w:tblStyle w:val="TableGrid"/>
        <w:tblW w:w="0" w:type="auto"/>
        <w:jc w:val="center"/>
        <w:tblLook w:val="04A0" w:firstRow="1" w:lastRow="0" w:firstColumn="1" w:lastColumn="0" w:noHBand="0" w:noVBand="1"/>
      </w:tblPr>
      <w:tblGrid>
        <w:gridCol w:w="1805"/>
        <w:gridCol w:w="1805"/>
        <w:gridCol w:w="1805"/>
        <w:gridCol w:w="1805"/>
        <w:gridCol w:w="1805"/>
      </w:tblGrid>
      <w:tr w:rsidR="000E1300" w14:paraId="22CE9850" w14:textId="77777777">
        <w:trPr>
          <w:jc w:val="center"/>
        </w:trPr>
        <w:tc>
          <w:tcPr>
            <w:tcW w:w="1805" w:type="dxa"/>
            <w:shd w:val="clear" w:color="auto" w:fill="D9EAF7"/>
            <w:vAlign w:val="center"/>
          </w:tcPr>
          <w:p w14:paraId="4A1246EA" w14:textId="77777777" w:rsidR="000E1300" w:rsidRDefault="00000000" w:rsidP="00112E6C">
            <w:pPr>
              <w:jc w:val="center"/>
            </w:pPr>
            <w:r>
              <w:rPr>
                <w:b/>
                <w:sz w:val="22"/>
              </w:rPr>
              <w:t>Ratio</w:t>
            </w:r>
          </w:p>
        </w:tc>
        <w:tc>
          <w:tcPr>
            <w:tcW w:w="1805" w:type="dxa"/>
            <w:shd w:val="clear" w:color="auto" w:fill="D9EAF7"/>
            <w:vAlign w:val="center"/>
          </w:tcPr>
          <w:p w14:paraId="3A374B5C" w14:textId="77777777" w:rsidR="000E1300" w:rsidRDefault="00000000" w:rsidP="00112E6C">
            <w:pPr>
              <w:jc w:val="center"/>
            </w:pPr>
            <w:r>
              <w:rPr>
                <w:b/>
                <w:sz w:val="22"/>
              </w:rPr>
              <w:t>Formula</w:t>
            </w:r>
          </w:p>
        </w:tc>
        <w:tc>
          <w:tcPr>
            <w:tcW w:w="1805" w:type="dxa"/>
            <w:shd w:val="clear" w:color="auto" w:fill="D9EAF7"/>
            <w:vAlign w:val="center"/>
          </w:tcPr>
          <w:p w14:paraId="7652E5C8" w14:textId="77777777" w:rsidR="000E1300" w:rsidRDefault="00000000" w:rsidP="00112E6C">
            <w:pPr>
              <w:jc w:val="center"/>
            </w:pPr>
            <w:r>
              <w:rPr>
                <w:b/>
                <w:sz w:val="22"/>
              </w:rPr>
              <w:t>2024</w:t>
            </w:r>
          </w:p>
        </w:tc>
        <w:tc>
          <w:tcPr>
            <w:tcW w:w="1805" w:type="dxa"/>
            <w:shd w:val="clear" w:color="auto" w:fill="D9EAF7"/>
            <w:vAlign w:val="center"/>
          </w:tcPr>
          <w:p w14:paraId="65460FEE" w14:textId="77777777" w:rsidR="000E1300" w:rsidRDefault="00000000" w:rsidP="00112E6C">
            <w:pPr>
              <w:jc w:val="center"/>
            </w:pPr>
            <w:r>
              <w:rPr>
                <w:b/>
                <w:sz w:val="22"/>
              </w:rPr>
              <w:t>2025</w:t>
            </w:r>
          </w:p>
        </w:tc>
        <w:tc>
          <w:tcPr>
            <w:tcW w:w="1805" w:type="dxa"/>
            <w:shd w:val="clear" w:color="auto" w:fill="D9EAF7"/>
            <w:vAlign w:val="center"/>
          </w:tcPr>
          <w:p w14:paraId="4BDE1B6A" w14:textId="77777777" w:rsidR="000E1300" w:rsidRDefault="00000000" w:rsidP="00112E6C">
            <w:pPr>
              <w:jc w:val="center"/>
            </w:pPr>
            <w:r>
              <w:rPr>
                <w:b/>
                <w:sz w:val="22"/>
              </w:rPr>
              <w:t>Change</w:t>
            </w:r>
          </w:p>
        </w:tc>
      </w:tr>
      <w:tr w:rsidR="000E1300" w14:paraId="6179CEA8" w14:textId="77777777">
        <w:trPr>
          <w:jc w:val="center"/>
        </w:trPr>
        <w:tc>
          <w:tcPr>
            <w:tcW w:w="1805" w:type="dxa"/>
            <w:vAlign w:val="center"/>
          </w:tcPr>
          <w:p w14:paraId="6AB5F0A1" w14:textId="77777777" w:rsidR="000E1300" w:rsidRDefault="00000000" w:rsidP="00112E6C">
            <w:r>
              <w:rPr>
                <w:sz w:val="22"/>
              </w:rPr>
              <w:t>Operating Profit Margin</w:t>
            </w:r>
          </w:p>
        </w:tc>
        <w:tc>
          <w:tcPr>
            <w:tcW w:w="1805" w:type="dxa"/>
            <w:vAlign w:val="center"/>
          </w:tcPr>
          <w:p w14:paraId="60DD39D6" w14:textId="77777777" w:rsidR="000E1300" w:rsidRDefault="00000000" w:rsidP="00112E6C">
            <w:r>
              <w:rPr>
                <w:sz w:val="22"/>
              </w:rPr>
              <w:t>Operating Profit / Revenue</w:t>
            </w:r>
          </w:p>
        </w:tc>
        <w:tc>
          <w:tcPr>
            <w:tcW w:w="1805" w:type="dxa"/>
            <w:vAlign w:val="center"/>
          </w:tcPr>
          <w:p w14:paraId="2200AF6B" w14:textId="77777777" w:rsidR="000E1300" w:rsidRDefault="00000000" w:rsidP="00112E6C">
            <w:pPr>
              <w:jc w:val="center"/>
            </w:pPr>
            <w:r>
              <w:rPr>
                <w:sz w:val="22"/>
              </w:rPr>
              <w:t>15.32%</w:t>
            </w:r>
          </w:p>
        </w:tc>
        <w:tc>
          <w:tcPr>
            <w:tcW w:w="1805" w:type="dxa"/>
            <w:vAlign w:val="center"/>
          </w:tcPr>
          <w:p w14:paraId="0F566C33" w14:textId="77777777" w:rsidR="000E1300" w:rsidRDefault="00000000" w:rsidP="00112E6C">
            <w:pPr>
              <w:jc w:val="center"/>
            </w:pPr>
            <w:r>
              <w:rPr>
                <w:sz w:val="22"/>
              </w:rPr>
              <w:t>16.65%</w:t>
            </w:r>
          </w:p>
        </w:tc>
        <w:tc>
          <w:tcPr>
            <w:tcW w:w="1805" w:type="dxa"/>
            <w:vAlign w:val="center"/>
          </w:tcPr>
          <w:p w14:paraId="01818938" w14:textId="77777777" w:rsidR="000E1300" w:rsidRDefault="00000000" w:rsidP="00112E6C">
            <w:pPr>
              <w:jc w:val="center"/>
            </w:pPr>
            <w:r>
              <w:rPr>
                <w:sz w:val="22"/>
              </w:rPr>
              <w:t>+1.33 pp</w:t>
            </w:r>
          </w:p>
        </w:tc>
      </w:tr>
      <w:tr w:rsidR="000E1300" w14:paraId="5D0D1304" w14:textId="77777777">
        <w:trPr>
          <w:jc w:val="center"/>
        </w:trPr>
        <w:tc>
          <w:tcPr>
            <w:tcW w:w="1805" w:type="dxa"/>
            <w:vAlign w:val="center"/>
          </w:tcPr>
          <w:p w14:paraId="18F9EE68" w14:textId="77777777" w:rsidR="000E1300" w:rsidRDefault="00000000" w:rsidP="00112E6C">
            <w:r>
              <w:rPr>
                <w:sz w:val="22"/>
              </w:rPr>
              <w:t>Net Profit Margin</w:t>
            </w:r>
          </w:p>
        </w:tc>
        <w:tc>
          <w:tcPr>
            <w:tcW w:w="1805" w:type="dxa"/>
            <w:vAlign w:val="center"/>
          </w:tcPr>
          <w:p w14:paraId="473BD5E3" w14:textId="77777777" w:rsidR="000E1300" w:rsidRDefault="00000000" w:rsidP="00112E6C">
            <w:r>
              <w:rPr>
                <w:sz w:val="22"/>
              </w:rPr>
              <w:t>Net Profit / Revenue</w:t>
            </w:r>
          </w:p>
        </w:tc>
        <w:tc>
          <w:tcPr>
            <w:tcW w:w="1805" w:type="dxa"/>
            <w:vAlign w:val="center"/>
          </w:tcPr>
          <w:p w14:paraId="5D893197" w14:textId="77777777" w:rsidR="000E1300" w:rsidRDefault="00000000" w:rsidP="00112E6C">
            <w:pPr>
              <w:jc w:val="center"/>
            </w:pPr>
            <w:r>
              <w:rPr>
                <w:sz w:val="22"/>
              </w:rPr>
              <w:t>10.46%</w:t>
            </w:r>
          </w:p>
        </w:tc>
        <w:tc>
          <w:tcPr>
            <w:tcW w:w="1805" w:type="dxa"/>
            <w:vAlign w:val="center"/>
          </w:tcPr>
          <w:p w14:paraId="73405CAC" w14:textId="77777777" w:rsidR="000E1300" w:rsidRDefault="00000000" w:rsidP="00112E6C">
            <w:pPr>
              <w:jc w:val="center"/>
            </w:pPr>
            <w:r>
              <w:rPr>
                <w:sz w:val="22"/>
              </w:rPr>
              <w:t>12.11%</w:t>
            </w:r>
          </w:p>
        </w:tc>
        <w:tc>
          <w:tcPr>
            <w:tcW w:w="1805" w:type="dxa"/>
            <w:vAlign w:val="center"/>
          </w:tcPr>
          <w:p w14:paraId="07302521" w14:textId="77777777" w:rsidR="000E1300" w:rsidRDefault="00000000" w:rsidP="00112E6C">
            <w:pPr>
              <w:jc w:val="center"/>
            </w:pPr>
            <w:r>
              <w:rPr>
                <w:sz w:val="22"/>
              </w:rPr>
              <w:t>+1.65 pp</w:t>
            </w:r>
          </w:p>
        </w:tc>
      </w:tr>
      <w:tr w:rsidR="000E1300" w14:paraId="467362C3" w14:textId="77777777">
        <w:trPr>
          <w:jc w:val="center"/>
        </w:trPr>
        <w:tc>
          <w:tcPr>
            <w:tcW w:w="1805" w:type="dxa"/>
            <w:vAlign w:val="center"/>
          </w:tcPr>
          <w:p w14:paraId="599F6ADA" w14:textId="77777777" w:rsidR="000E1300" w:rsidRDefault="00000000" w:rsidP="00112E6C">
            <w:r>
              <w:rPr>
                <w:sz w:val="22"/>
              </w:rPr>
              <w:t>Return on Assets (ROA)</w:t>
            </w:r>
          </w:p>
        </w:tc>
        <w:tc>
          <w:tcPr>
            <w:tcW w:w="1805" w:type="dxa"/>
            <w:vAlign w:val="center"/>
          </w:tcPr>
          <w:p w14:paraId="53D30456" w14:textId="77777777" w:rsidR="000E1300" w:rsidRDefault="00000000" w:rsidP="00112E6C">
            <w:r>
              <w:rPr>
                <w:sz w:val="22"/>
              </w:rPr>
              <w:t>Net Profit / Total Assets</w:t>
            </w:r>
          </w:p>
        </w:tc>
        <w:tc>
          <w:tcPr>
            <w:tcW w:w="1805" w:type="dxa"/>
            <w:vAlign w:val="center"/>
          </w:tcPr>
          <w:p w14:paraId="615A3A98" w14:textId="77777777" w:rsidR="000E1300" w:rsidRDefault="00000000" w:rsidP="00112E6C">
            <w:pPr>
              <w:jc w:val="center"/>
            </w:pPr>
            <w:r>
              <w:rPr>
                <w:sz w:val="22"/>
              </w:rPr>
              <w:t>7.49%</w:t>
            </w:r>
          </w:p>
        </w:tc>
        <w:tc>
          <w:tcPr>
            <w:tcW w:w="1805" w:type="dxa"/>
            <w:vAlign w:val="center"/>
          </w:tcPr>
          <w:p w14:paraId="5D86D3E0" w14:textId="77777777" w:rsidR="000E1300" w:rsidRDefault="00000000" w:rsidP="00112E6C">
            <w:pPr>
              <w:jc w:val="center"/>
            </w:pPr>
            <w:r>
              <w:rPr>
                <w:sz w:val="22"/>
              </w:rPr>
              <w:t>8.75%</w:t>
            </w:r>
          </w:p>
        </w:tc>
        <w:tc>
          <w:tcPr>
            <w:tcW w:w="1805" w:type="dxa"/>
            <w:vAlign w:val="center"/>
          </w:tcPr>
          <w:p w14:paraId="187B1F7B" w14:textId="77777777" w:rsidR="000E1300" w:rsidRDefault="00000000" w:rsidP="00112E6C">
            <w:pPr>
              <w:jc w:val="center"/>
            </w:pPr>
            <w:r>
              <w:rPr>
                <w:sz w:val="22"/>
              </w:rPr>
              <w:t>+1.26 pp</w:t>
            </w:r>
          </w:p>
        </w:tc>
      </w:tr>
      <w:tr w:rsidR="000E1300" w14:paraId="26FE344F" w14:textId="77777777">
        <w:trPr>
          <w:jc w:val="center"/>
        </w:trPr>
        <w:tc>
          <w:tcPr>
            <w:tcW w:w="1805" w:type="dxa"/>
            <w:vAlign w:val="center"/>
          </w:tcPr>
          <w:p w14:paraId="53A0ABB4" w14:textId="77777777" w:rsidR="000E1300" w:rsidRDefault="00000000" w:rsidP="00112E6C">
            <w:r>
              <w:rPr>
                <w:sz w:val="22"/>
              </w:rPr>
              <w:t>Return on Equity (ROE)</w:t>
            </w:r>
          </w:p>
        </w:tc>
        <w:tc>
          <w:tcPr>
            <w:tcW w:w="1805" w:type="dxa"/>
            <w:vAlign w:val="center"/>
          </w:tcPr>
          <w:p w14:paraId="55E80290" w14:textId="77777777" w:rsidR="000E1300" w:rsidRDefault="00000000" w:rsidP="00112E6C">
            <w:r>
              <w:rPr>
                <w:sz w:val="22"/>
              </w:rPr>
              <w:t>Net Profit / Equity</w:t>
            </w:r>
          </w:p>
        </w:tc>
        <w:tc>
          <w:tcPr>
            <w:tcW w:w="1805" w:type="dxa"/>
            <w:vAlign w:val="center"/>
          </w:tcPr>
          <w:p w14:paraId="40B736EA" w14:textId="77777777" w:rsidR="000E1300" w:rsidRDefault="00000000" w:rsidP="00112E6C">
            <w:pPr>
              <w:jc w:val="center"/>
            </w:pPr>
            <w:r>
              <w:rPr>
                <w:sz w:val="22"/>
              </w:rPr>
              <w:t>27.28%</w:t>
            </w:r>
          </w:p>
        </w:tc>
        <w:tc>
          <w:tcPr>
            <w:tcW w:w="1805" w:type="dxa"/>
            <w:vAlign w:val="center"/>
          </w:tcPr>
          <w:p w14:paraId="4FC2785D" w14:textId="77777777" w:rsidR="000E1300" w:rsidRDefault="00000000" w:rsidP="00112E6C">
            <w:pPr>
              <w:jc w:val="center"/>
            </w:pPr>
            <w:r>
              <w:rPr>
                <w:sz w:val="22"/>
              </w:rPr>
              <w:t>32.21%</w:t>
            </w:r>
          </w:p>
        </w:tc>
        <w:tc>
          <w:tcPr>
            <w:tcW w:w="1805" w:type="dxa"/>
            <w:vAlign w:val="center"/>
          </w:tcPr>
          <w:p w14:paraId="72905AF4" w14:textId="77777777" w:rsidR="000E1300" w:rsidRDefault="00000000" w:rsidP="00112E6C">
            <w:pPr>
              <w:jc w:val="center"/>
            </w:pPr>
            <w:r>
              <w:rPr>
                <w:sz w:val="22"/>
              </w:rPr>
              <w:t>+4.93 pp</w:t>
            </w:r>
          </w:p>
        </w:tc>
      </w:tr>
      <w:tr w:rsidR="000E1300" w14:paraId="0D15A270" w14:textId="77777777">
        <w:trPr>
          <w:jc w:val="center"/>
        </w:trPr>
        <w:tc>
          <w:tcPr>
            <w:tcW w:w="1805" w:type="dxa"/>
            <w:vAlign w:val="center"/>
          </w:tcPr>
          <w:p w14:paraId="0129834F" w14:textId="77777777" w:rsidR="000E1300" w:rsidRDefault="00000000" w:rsidP="00112E6C">
            <w:r>
              <w:rPr>
                <w:sz w:val="22"/>
              </w:rPr>
              <w:t>Free Cash Flow Margin</w:t>
            </w:r>
          </w:p>
        </w:tc>
        <w:tc>
          <w:tcPr>
            <w:tcW w:w="1805" w:type="dxa"/>
            <w:vAlign w:val="center"/>
          </w:tcPr>
          <w:p w14:paraId="309F218D" w14:textId="77777777" w:rsidR="000E1300" w:rsidRDefault="00000000" w:rsidP="00112E6C">
            <w:r>
              <w:rPr>
                <w:sz w:val="22"/>
              </w:rPr>
              <w:t>Free Cash Flow / Revenue</w:t>
            </w:r>
          </w:p>
        </w:tc>
        <w:tc>
          <w:tcPr>
            <w:tcW w:w="1805" w:type="dxa"/>
            <w:vAlign w:val="center"/>
          </w:tcPr>
          <w:p w14:paraId="63D6EC5F" w14:textId="77777777" w:rsidR="000E1300" w:rsidRDefault="00000000" w:rsidP="00112E6C">
            <w:pPr>
              <w:jc w:val="center"/>
            </w:pPr>
            <w:r>
              <w:rPr>
                <w:sz w:val="22"/>
              </w:rPr>
              <w:t>12.41%</w:t>
            </w:r>
          </w:p>
        </w:tc>
        <w:tc>
          <w:tcPr>
            <w:tcW w:w="1805" w:type="dxa"/>
            <w:vAlign w:val="center"/>
          </w:tcPr>
          <w:p w14:paraId="4736EF29" w14:textId="77777777" w:rsidR="000E1300" w:rsidRDefault="00000000" w:rsidP="00112E6C">
            <w:pPr>
              <w:jc w:val="center"/>
            </w:pPr>
            <w:r>
              <w:rPr>
                <w:sz w:val="22"/>
              </w:rPr>
              <w:t>13.47%</w:t>
            </w:r>
          </w:p>
        </w:tc>
        <w:tc>
          <w:tcPr>
            <w:tcW w:w="1805" w:type="dxa"/>
            <w:vAlign w:val="center"/>
          </w:tcPr>
          <w:p w14:paraId="2181D6AE" w14:textId="77777777" w:rsidR="000E1300" w:rsidRDefault="00000000" w:rsidP="00112E6C">
            <w:pPr>
              <w:jc w:val="center"/>
            </w:pPr>
            <w:r>
              <w:rPr>
                <w:sz w:val="22"/>
              </w:rPr>
              <w:t>+1.06 pp</w:t>
            </w:r>
          </w:p>
        </w:tc>
      </w:tr>
      <w:tr w:rsidR="000E1300" w14:paraId="6BA064A4" w14:textId="77777777">
        <w:trPr>
          <w:jc w:val="center"/>
        </w:trPr>
        <w:tc>
          <w:tcPr>
            <w:tcW w:w="1805" w:type="dxa"/>
            <w:vAlign w:val="center"/>
          </w:tcPr>
          <w:p w14:paraId="12055245" w14:textId="77777777" w:rsidR="000E1300" w:rsidRDefault="00000000" w:rsidP="00112E6C">
            <w:r>
              <w:rPr>
                <w:sz w:val="22"/>
              </w:rPr>
              <w:t>Current Ratio</w:t>
            </w:r>
          </w:p>
        </w:tc>
        <w:tc>
          <w:tcPr>
            <w:tcW w:w="1805" w:type="dxa"/>
            <w:vAlign w:val="center"/>
          </w:tcPr>
          <w:p w14:paraId="7131E1A7" w14:textId="77777777" w:rsidR="000E1300" w:rsidRDefault="00000000" w:rsidP="00112E6C">
            <w:r>
              <w:rPr>
                <w:sz w:val="22"/>
              </w:rPr>
              <w:t>Current Assets / Current Liabilities</w:t>
            </w:r>
          </w:p>
        </w:tc>
        <w:tc>
          <w:tcPr>
            <w:tcW w:w="1805" w:type="dxa"/>
            <w:vAlign w:val="center"/>
          </w:tcPr>
          <w:p w14:paraId="21AAB38A" w14:textId="77777777" w:rsidR="000E1300" w:rsidRDefault="00000000" w:rsidP="00112E6C">
            <w:pPr>
              <w:jc w:val="center"/>
            </w:pPr>
            <w:r>
              <w:rPr>
                <w:sz w:val="22"/>
              </w:rPr>
              <w:t>0.82</w:t>
            </w:r>
          </w:p>
        </w:tc>
        <w:tc>
          <w:tcPr>
            <w:tcW w:w="1805" w:type="dxa"/>
            <w:vAlign w:val="center"/>
          </w:tcPr>
          <w:p w14:paraId="2CB66FF4" w14:textId="77777777" w:rsidR="000E1300" w:rsidRDefault="00000000" w:rsidP="00112E6C">
            <w:pPr>
              <w:jc w:val="center"/>
            </w:pPr>
            <w:r>
              <w:rPr>
                <w:sz w:val="22"/>
              </w:rPr>
              <w:t>0.80</w:t>
            </w:r>
          </w:p>
        </w:tc>
        <w:tc>
          <w:tcPr>
            <w:tcW w:w="1805" w:type="dxa"/>
            <w:vAlign w:val="center"/>
          </w:tcPr>
          <w:p w14:paraId="6DF1ADAB" w14:textId="77777777" w:rsidR="000E1300" w:rsidRDefault="00000000" w:rsidP="00112E6C">
            <w:pPr>
              <w:jc w:val="center"/>
            </w:pPr>
            <w:r>
              <w:rPr>
                <w:sz w:val="22"/>
              </w:rPr>
              <w:t>-0.02</w:t>
            </w:r>
          </w:p>
        </w:tc>
      </w:tr>
      <w:tr w:rsidR="000E1300" w14:paraId="184A3D82" w14:textId="77777777">
        <w:trPr>
          <w:jc w:val="center"/>
        </w:trPr>
        <w:tc>
          <w:tcPr>
            <w:tcW w:w="1805" w:type="dxa"/>
            <w:vAlign w:val="center"/>
          </w:tcPr>
          <w:p w14:paraId="0341DA99" w14:textId="77777777" w:rsidR="000E1300" w:rsidRDefault="00000000" w:rsidP="00112E6C">
            <w:r>
              <w:rPr>
                <w:sz w:val="22"/>
              </w:rPr>
              <w:t>Quick Ratio</w:t>
            </w:r>
          </w:p>
        </w:tc>
        <w:tc>
          <w:tcPr>
            <w:tcW w:w="1805" w:type="dxa"/>
            <w:vAlign w:val="center"/>
          </w:tcPr>
          <w:p w14:paraId="106BCC2B" w14:textId="77777777" w:rsidR="000E1300" w:rsidRDefault="00000000" w:rsidP="00112E6C">
            <w:r>
              <w:rPr>
                <w:sz w:val="22"/>
              </w:rPr>
              <w:t>(Current Assets - Inventory) / Current Liabilities</w:t>
            </w:r>
          </w:p>
        </w:tc>
        <w:tc>
          <w:tcPr>
            <w:tcW w:w="1805" w:type="dxa"/>
            <w:vAlign w:val="center"/>
          </w:tcPr>
          <w:p w14:paraId="12844406" w14:textId="77777777" w:rsidR="000E1300" w:rsidRDefault="00000000" w:rsidP="00112E6C">
            <w:pPr>
              <w:jc w:val="center"/>
            </w:pPr>
            <w:r>
              <w:rPr>
                <w:sz w:val="22"/>
              </w:rPr>
              <w:t>0.55</w:t>
            </w:r>
          </w:p>
        </w:tc>
        <w:tc>
          <w:tcPr>
            <w:tcW w:w="1805" w:type="dxa"/>
            <w:vAlign w:val="center"/>
          </w:tcPr>
          <w:p w14:paraId="77325FB6" w14:textId="77777777" w:rsidR="000E1300" w:rsidRDefault="00000000" w:rsidP="00112E6C">
            <w:pPr>
              <w:jc w:val="center"/>
            </w:pPr>
            <w:r>
              <w:rPr>
                <w:sz w:val="22"/>
              </w:rPr>
              <w:t>0.54</w:t>
            </w:r>
          </w:p>
        </w:tc>
        <w:tc>
          <w:tcPr>
            <w:tcW w:w="1805" w:type="dxa"/>
            <w:vAlign w:val="center"/>
          </w:tcPr>
          <w:p w14:paraId="628EB889" w14:textId="77777777" w:rsidR="000E1300" w:rsidRDefault="00000000" w:rsidP="00112E6C">
            <w:pPr>
              <w:jc w:val="center"/>
            </w:pPr>
            <w:r>
              <w:rPr>
                <w:sz w:val="22"/>
              </w:rPr>
              <w:t>-0.02</w:t>
            </w:r>
          </w:p>
        </w:tc>
      </w:tr>
      <w:tr w:rsidR="000E1300" w14:paraId="1B70C0B8" w14:textId="77777777">
        <w:trPr>
          <w:jc w:val="center"/>
        </w:trPr>
        <w:tc>
          <w:tcPr>
            <w:tcW w:w="1805" w:type="dxa"/>
            <w:vAlign w:val="center"/>
          </w:tcPr>
          <w:p w14:paraId="7326609E" w14:textId="77777777" w:rsidR="000E1300" w:rsidRDefault="00000000" w:rsidP="00112E6C">
            <w:r>
              <w:rPr>
                <w:sz w:val="22"/>
              </w:rPr>
              <w:t>Debt-to-Equity Ratio</w:t>
            </w:r>
          </w:p>
        </w:tc>
        <w:tc>
          <w:tcPr>
            <w:tcW w:w="1805" w:type="dxa"/>
            <w:vAlign w:val="center"/>
          </w:tcPr>
          <w:p w14:paraId="225576AD" w14:textId="77777777" w:rsidR="000E1300" w:rsidRDefault="00000000" w:rsidP="00112E6C">
            <w:r>
              <w:rPr>
                <w:sz w:val="22"/>
              </w:rPr>
              <w:t>Total Debt / Equity</w:t>
            </w:r>
          </w:p>
        </w:tc>
        <w:tc>
          <w:tcPr>
            <w:tcW w:w="1805" w:type="dxa"/>
            <w:vAlign w:val="center"/>
          </w:tcPr>
          <w:p w14:paraId="43B68644" w14:textId="77777777" w:rsidR="000E1300" w:rsidRDefault="00000000" w:rsidP="00112E6C">
            <w:pPr>
              <w:jc w:val="center"/>
            </w:pPr>
            <w:r>
              <w:rPr>
                <w:sz w:val="22"/>
              </w:rPr>
              <w:t>1.42</w:t>
            </w:r>
          </w:p>
        </w:tc>
        <w:tc>
          <w:tcPr>
            <w:tcW w:w="1805" w:type="dxa"/>
            <w:vAlign w:val="center"/>
          </w:tcPr>
          <w:p w14:paraId="4C49BA1D" w14:textId="77777777" w:rsidR="000E1300" w:rsidRDefault="00000000" w:rsidP="00112E6C">
            <w:pPr>
              <w:jc w:val="center"/>
            </w:pPr>
            <w:r>
              <w:rPr>
                <w:sz w:val="22"/>
              </w:rPr>
              <w:t>1.41</w:t>
            </w:r>
          </w:p>
        </w:tc>
        <w:tc>
          <w:tcPr>
            <w:tcW w:w="1805" w:type="dxa"/>
            <w:vAlign w:val="center"/>
          </w:tcPr>
          <w:p w14:paraId="4375DB74" w14:textId="77777777" w:rsidR="000E1300" w:rsidRDefault="00000000" w:rsidP="00112E6C">
            <w:pPr>
              <w:jc w:val="center"/>
            </w:pPr>
            <w:r>
              <w:rPr>
                <w:sz w:val="22"/>
              </w:rPr>
              <w:t>-0.01</w:t>
            </w:r>
          </w:p>
        </w:tc>
      </w:tr>
      <w:tr w:rsidR="000E1300" w14:paraId="07555F7E" w14:textId="77777777">
        <w:trPr>
          <w:jc w:val="center"/>
        </w:trPr>
        <w:tc>
          <w:tcPr>
            <w:tcW w:w="1805" w:type="dxa"/>
            <w:vAlign w:val="center"/>
          </w:tcPr>
          <w:p w14:paraId="4F9E0293" w14:textId="77777777" w:rsidR="000E1300" w:rsidRDefault="00000000" w:rsidP="00112E6C">
            <w:r>
              <w:rPr>
                <w:sz w:val="22"/>
              </w:rPr>
              <w:t>Debt Ratio</w:t>
            </w:r>
          </w:p>
        </w:tc>
        <w:tc>
          <w:tcPr>
            <w:tcW w:w="1805" w:type="dxa"/>
            <w:vAlign w:val="center"/>
          </w:tcPr>
          <w:p w14:paraId="7BD58FED" w14:textId="77777777" w:rsidR="000E1300" w:rsidRDefault="00000000" w:rsidP="00112E6C">
            <w:r>
              <w:rPr>
                <w:sz w:val="22"/>
              </w:rPr>
              <w:t>Total Liabilities / Total Assets</w:t>
            </w:r>
          </w:p>
        </w:tc>
        <w:tc>
          <w:tcPr>
            <w:tcW w:w="1805" w:type="dxa"/>
            <w:vAlign w:val="center"/>
          </w:tcPr>
          <w:p w14:paraId="4AFF5EB9" w14:textId="77777777" w:rsidR="000E1300" w:rsidRDefault="00000000" w:rsidP="00112E6C">
            <w:pPr>
              <w:jc w:val="center"/>
            </w:pPr>
            <w:r>
              <w:rPr>
                <w:sz w:val="22"/>
              </w:rPr>
              <w:t>72.55%</w:t>
            </w:r>
          </w:p>
        </w:tc>
        <w:tc>
          <w:tcPr>
            <w:tcW w:w="1805" w:type="dxa"/>
            <w:vAlign w:val="center"/>
          </w:tcPr>
          <w:p w14:paraId="41E1C123" w14:textId="77777777" w:rsidR="000E1300" w:rsidRDefault="00000000" w:rsidP="00112E6C">
            <w:pPr>
              <w:jc w:val="center"/>
            </w:pPr>
            <w:r>
              <w:rPr>
                <w:sz w:val="22"/>
              </w:rPr>
              <w:t>72.82%</w:t>
            </w:r>
          </w:p>
        </w:tc>
        <w:tc>
          <w:tcPr>
            <w:tcW w:w="1805" w:type="dxa"/>
            <w:vAlign w:val="center"/>
          </w:tcPr>
          <w:p w14:paraId="0CBB4511" w14:textId="77777777" w:rsidR="000E1300" w:rsidRDefault="00000000" w:rsidP="00112E6C">
            <w:pPr>
              <w:jc w:val="center"/>
            </w:pPr>
            <w:r>
              <w:rPr>
                <w:sz w:val="22"/>
              </w:rPr>
              <w:t>+0.27 pp</w:t>
            </w:r>
          </w:p>
        </w:tc>
      </w:tr>
      <w:tr w:rsidR="000E1300" w14:paraId="64CB8756" w14:textId="77777777">
        <w:trPr>
          <w:jc w:val="center"/>
        </w:trPr>
        <w:tc>
          <w:tcPr>
            <w:tcW w:w="1805" w:type="dxa"/>
            <w:vAlign w:val="center"/>
          </w:tcPr>
          <w:p w14:paraId="713D0EBB" w14:textId="77777777" w:rsidR="000E1300" w:rsidRDefault="00000000" w:rsidP="00112E6C">
            <w:r>
              <w:rPr>
                <w:sz w:val="22"/>
              </w:rPr>
              <w:lastRenderedPageBreak/>
              <w:t>Debt-to-Capital Ratio</w:t>
            </w:r>
          </w:p>
        </w:tc>
        <w:tc>
          <w:tcPr>
            <w:tcW w:w="1805" w:type="dxa"/>
            <w:vAlign w:val="center"/>
          </w:tcPr>
          <w:p w14:paraId="4E6B1158" w14:textId="77777777" w:rsidR="000E1300" w:rsidRDefault="00000000" w:rsidP="00112E6C">
            <w:r>
              <w:rPr>
                <w:sz w:val="22"/>
              </w:rPr>
              <w:t>Debt / (Debt + Equity)</w:t>
            </w:r>
          </w:p>
        </w:tc>
        <w:tc>
          <w:tcPr>
            <w:tcW w:w="1805" w:type="dxa"/>
            <w:vAlign w:val="center"/>
          </w:tcPr>
          <w:p w14:paraId="7C854F15" w14:textId="77777777" w:rsidR="000E1300" w:rsidRDefault="00000000" w:rsidP="00112E6C">
            <w:pPr>
              <w:jc w:val="center"/>
            </w:pPr>
            <w:r>
              <w:rPr>
                <w:sz w:val="22"/>
              </w:rPr>
              <w:t>58.67%</w:t>
            </w:r>
          </w:p>
        </w:tc>
        <w:tc>
          <w:tcPr>
            <w:tcW w:w="1805" w:type="dxa"/>
            <w:vAlign w:val="center"/>
          </w:tcPr>
          <w:p w14:paraId="2137CAF9" w14:textId="77777777" w:rsidR="000E1300" w:rsidRDefault="00000000" w:rsidP="00112E6C">
            <w:pPr>
              <w:jc w:val="center"/>
            </w:pPr>
            <w:r>
              <w:rPr>
                <w:sz w:val="22"/>
              </w:rPr>
              <w:t>58.44%</w:t>
            </w:r>
          </w:p>
        </w:tc>
        <w:tc>
          <w:tcPr>
            <w:tcW w:w="1805" w:type="dxa"/>
            <w:vAlign w:val="center"/>
          </w:tcPr>
          <w:p w14:paraId="74726CF9" w14:textId="77777777" w:rsidR="000E1300" w:rsidRDefault="00000000" w:rsidP="00112E6C">
            <w:pPr>
              <w:jc w:val="center"/>
            </w:pPr>
            <w:r>
              <w:rPr>
                <w:sz w:val="22"/>
              </w:rPr>
              <w:t>-0.23 pp</w:t>
            </w:r>
          </w:p>
        </w:tc>
      </w:tr>
      <w:tr w:rsidR="000E1300" w14:paraId="0308C9C9" w14:textId="77777777">
        <w:trPr>
          <w:jc w:val="center"/>
        </w:trPr>
        <w:tc>
          <w:tcPr>
            <w:tcW w:w="1805" w:type="dxa"/>
            <w:vAlign w:val="center"/>
          </w:tcPr>
          <w:p w14:paraId="6F13EA3F" w14:textId="77777777" w:rsidR="000E1300" w:rsidRDefault="00000000" w:rsidP="00112E6C">
            <w:r>
              <w:rPr>
                <w:sz w:val="22"/>
              </w:rPr>
              <w:t>Asset Turnover</w:t>
            </w:r>
          </w:p>
        </w:tc>
        <w:tc>
          <w:tcPr>
            <w:tcW w:w="1805" w:type="dxa"/>
            <w:vAlign w:val="center"/>
          </w:tcPr>
          <w:p w14:paraId="6A0E6453" w14:textId="77777777" w:rsidR="000E1300" w:rsidRDefault="00000000" w:rsidP="00112E6C">
            <w:r>
              <w:rPr>
                <w:sz w:val="22"/>
              </w:rPr>
              <w:t>Revenue / Total Assets</w:t>
            </w:r>
          </w:p>
        </w:tc>
        <w:tc>
          <w:tcPr>
            <w:tcW w:w="1805" w:type="dxa"/>
            <w:vAlign w:val="center"/>
          </w:tcPr>
          <w:p w14:paraId="452BC481" w14:textId="77777777" w:rsidR="000E1300" w:rsidRDefault="00000000" w:rsidP="00112E6C">
            <w:pPr>
              <w:jc w:val="center"/>
            </w:pPr>
            <w:r>
              <w:rPr>
                <w:sz w:val="22"/>
              </w:rPr>
              <w:t>0.72</w:t>
            </w:r>
          </w:p>
        </w:tc>
        <w:tc>
          <w:tcPr>
            <w:tcW w:w="1805" w:type="dxa"/>
            <w:vAlign w:val="center"/>
          </w:tcPr>
          <w:p w14:paraId="3B1E6879" w14:textId="77777777" w:rsidR="000E1300" w:rsidRDefault="00000000" w:rsidP="00112E6C">
            <w:pPr>
              <w:jc w:val="center"/>
            </w:pPr>
            <w:r>
              <w:rPr>
                <w:sz w:val="22"/>
              </w:rPr>
              <w:t>0.72</w:t>
            </w:r>
          </w:p>
        </w:tc>
        <w:tc>
          <w:tcPr>
            <w:tcW w:w="1805" w:type="dxa"/>
            <w:vAlign w:val="center"/>
          </w:tcPr>
          <w:p w14:paraId="189ABB1B" w14:textId="77777777" w:rsidR="000E1300" w:rsidRDefault="00000000" w:rsidP="00112E6C">
            <w:pPr>
              <w:jc w:val="center"/>
            </w:pPr>
            <w:r>
              <w:rPr>
                <w:sz w:val="22"/>
              </w:rPr>
              <w:t>Stable</w:t>
            </w:r>
          </w:p>
        </w:tc>
      </w:tr>
    </w:tbl>
    <w:p w14:paraId="0331E8BC" w14:textId="77777777" w:rsidR="000E1300" w:rsidRDefault="00000000" w:rsidP="00112E6C">
      <w:pPr>
        <w:pStyle w:val="Heading2"/>
      </w:pPr>
      <w:bookmarkStart w:id="11" w:name="_Toc227857110"/>
      <w:r>
        <w:t>Appendix 2: Key financial tables</w:t>
      </w:r>
      <w:bookmarkEnd w:id="11"/>
    </w:p>
    <w:tbl>
      <w:tblPr>
        <w:tblStyle w:val="TableGrid"/>
        <w:tblW w:w="0" w:type="auto"/>
        <w:jc w:val="center"/>
        <w:tblLook w:val="04A0" w:firstRow="1" w:lastRow="0" w:firstColumn="1" w:lastColumn="0" w:noHBand="0" w:noVBand="1"/>
      </w:tblPr>
      <w:tblGrid>
        <w:gridCol w:w="1805"/>
        <w:gridCol w:w="1805"/>
        <w:gridCol w:w="1805"/>
        <w:gridCol w:w="1805"/>
        <w:gridCol w:w="1805"/>
      </w:tblGrid>
      <w:tr w:rsidR="000E1300" w14:paraId="30883AD9" w14:textId="77777777">
        <w:trPr>
          <w:jc w:val="center"/>
        </w:trPr>
        <w:tc>
          <w:tcPr>
            <w:tcW w:w="1805" w:type="dxa"/>
            <w:shd w:val="clear" w:color="auto" w:fill="D9EAF7"/>
            <w:vAlign w:val="center"/>
          </w:tcPr>
          <w:p w14:paraId="2CBA1711" w14:textId="77777777" w:rsidR="000E1300" w:rsidRDefault="00000000" w:rsidP="00112E6C">
            <w:pPr>
              <w:jc w:val="center"/>
            </w:pPr>
            <w:r>
              <w:rPr>
                <w:b/>
                <w:sz w:val="22"/>
              </w:rPr>
              <w:t>Item</w:t>
            </w:r>
          </w:p>
        </w:tc>
        <w:tc>
          <w:tcPr>
            <w:tcW w:w="1805" w:type="dxa"/>
            <w:shd w:val="clear" w:color="auto" w:fill="D9EAF7"/>
            <w:vAlign w:val="center"/>
          </w:tcPr>
          <w:p w14:paraId="7A13BC70" w14:textId="77777777" w:rsidR="000E1300" w:rsidRDefault="00000000" w:rsidP="00112E6C">
            <w:pPr>
              <w:jc w:val="center"/>
            </w:pPr>
            <w:r>
              <w:rPr>
                <w:b/>
                <w:sz w:val="22"/>
              </w:rPr>
              <w:t>2024 (£m)</w:t>
            </w:r>
          </w:p>
        </w:tc>
        <w:tc>
          <w:tcPr>
            <w:tcW w:w="1805" w:type="dxa"/>
            <w:shd w:val="clear" w:color="auto" w:fill="D9EAF7"/>
            <w:vAlign w:val="center"/>
          </w:tcPr>
          <w:p w14:paraId="62310202" w14:textId="77777777" w:rsidR="000E1300" w:rsidRDefault="00000000" w:rsidP="00112E6C">
            <w:pPr>
              <w:jc w:val="center"/>
            </w:pPr>
            <w:r>
              <w:rPr>
                <w:b/>
                <w:sz w:val="22"/>
              </w:rPr>
              <w:t>2025 (£m)</w:t>
            </w:r>
          </w:p>
        </w:tc>
        <w:tc>
          <w:tcPr>
            <w:tcW w:w="1805" w:type="dxa"/>
            <w:shd w:val="clear" w:color="auto" w:fill="D9EAF7"/>
            <w:vAlign w:val="center"/>
          </w:tcPr>
          <w:p w14:paraId="0D26E12B" w14:textId="77777777" w:rsidR="000E1300" w:rsidRDefault="00000000" w:rsidP="00112E6C">
            <w:pPr>
              <w:jc w:val="center"/>
            </w:pPr>
            <w:r>
              <w:rPr>
                <w:b/>
                <w:sz w:val="22"/>
              </w:rPr>
              <w:t>Absolute change (£m)</w:t>
            </w:r>
          </w:p>
        </w:tc>
        <w:tc>
          <w:tcPr>
            <w:tcW w:w="1805" w:type="dxa"/>
            <w:shd w:val="clear" w:color="auto" w:fill="D9EAF7"/>
            <w:vAlign w:val="center"/>
          </w:tcPr>
          <w:p w14:paraId="2798EB51" w14:textId="77777777" w:rsidR="000E1300" w:rsidRDefault="00000000" w:rsidP="00112E6C">
            <w:pPr>
              <w:jc w:val="center"/>
            </w:pPr>
            <w:r>
              <w:rPr>
                <w:b/>
                <w:sz w:val="22"/>
              </w:rPr>
              <w:t>% change</w:t>
            </w:r>
          </w:p>
        </w:tc>
      </w:tr>
      <w:tr w:rsidR="000E1300" w14:paraId="6894D633" w14:textId="77777777">
        <w:trPr>
          <w:jc w:val="center"/>
        </w:trPr>
        <w:tc>
          <w:tcPr>
            <w:tcW w:w="1805" w:type="dxa"/>
            <w:vAlign w:val="center"/>
          </w:tcPr>
          <w:p w14:paraId="7546680D" w14:textId="77777777" w:rsidR="000E1300" w:rsidRDefault="00000000" w:rsidP="00112E6C">
            <w:r>
              <w:rPr>
                <w:sz w:val="22"/>
              </w:rPr>
              <w:t>Revenue</w:t>
            </w:r>
          </w:p>
        </w:tc>
        <w:tc>
          <w:tcPr>
            <w:tcW w:w="1805" w:type="dxa"/>
            <w:vAlign w:val="center"/>
          </w:tcPr>
          <w:p w14:paraId="2912B708" w14:textId="77777777" w:rsidR="000E1300" w:rsidRDefault="00000000" w:rsidP="00112E6C">
            <w:pPr>
              <w:jc w:val="center"/>
            </w:pPr>
            <w:r>
              <w:rPr>
                <w:sz w:val="22"/>
              </w:rPr>
              <w:t>58,420</w:t>
            </w:r>
          </w:p>
        </w:tc>
        <w:tc>
          <w:tcPr>
            <w:tcW w:w="1805" w:type="dxa"/>
            <w:vAlign w:val="center"/>
          </w:tcPr>
          <w:p w14:paraId="4E046E92" w14:textId="77777777" w:rsidR="000E1300" w:rsidRDefault="00000000" w:rsidP="00112E6C">
            <w:pPr>
              <w:jc w:val="center"/>
            </w:pPr>
            <w:r>
              <w:rPr>
                <w:sz w:val="22"/>
              </w:rPr>
              <w:t>55,980</w:t>
            </w:r>
          </w:p>
        </w:tc>
        <w:tc>
          <w:tcPr>
            <w:tcW w:w="1805" w:type="dxa"/>
            <w:vAlign w:val="center"/>
          </w:tcPr>
          <w:p w14:paraId="1B12A784" w14:textId="77777777" w:rsidR="000E1300" w:rsidRDefault="00000000" w:rsidP="00112E6C">
            <w:pPr>
              <w:jc w:val="center"/>
            </w:pPr>
            <w:r>
              <w:rPr>
                <w:sz w:val="22"/>
              </w:rPr>
              <w:t>-2,440</w:t>
            </w:r>
          </w:p>
        </w:tc>
        <w:tc>
          <w:tcPr>
            <w:tcW w:w="1805" w:type="dxa"/>
            <w:vAlign w:val="center"/>
          </w:tcPr>
          <w:p w14:paraId="35B12994" w14:textId="77777777" w:rsidR="000E1300" w:rsidRDefault="00000000" w:rsidP="00112E6C">
            <w:pPr>
              <w:jc w:val="center"/>
            </w:pPr>
            <w:r>
              <w:rPr>
                <w:sz w:val="22"/>
              </w:rPr>
              <w:t>-4.18%</w:t>
            </w:r>
          </w:p>
        </w:tc>
      </w:tr>
      <w:tr w:rsidR="000E1300" w14:paraId="11E6A534" w14:textId="77777777">
        <w:trPr>
          <w:jc w:val="center"/>
        </w:trPr>
        <w:tc>
          <w:tcPr>
            <w:tcW w:w="1805" w:type="dxa"/>
            <w:vAlign w:val="center"/>
          </w:tcPr>
          <w:p w14:paraId="30EA4EA6" w14:textId="77777777" w:rsidR="000E1300" w:rsidRDefault="00000000" w:rsidP="00112E6C">
            <w:r>
              <w:rPr>
                <w:sz w:val="22"/>
              </w:rPr>
              <w:t>Operating Profit</w:t>
            </w:r>
          </w:p>
        </w:tc>
        <w:tc>
          <w:tcPr>
            <w:tcW w:w="1805" w:type="dxa"/>
            <w:vAlign w:val="center"/>
          </w:tcPr>
          <w:p w14:paraId="27D81444" w14:textId="77777777" w:rsidR="000E1300" w:rsidRDefault="00000000" w:rsidP="00112E6C">
            <w:pPr>
              <w:jc w:val="center"/>
            </w:pPr>
            <w:r>
              <w:rPr>
                <w:sz w:val="22"/>
              </w:rPr>
              <w:t>8,950</w:t>
            </w:r>
          </w:p>
        </w:tc>
        <w:tc>
          <w:tcPr>
            <w:tcW w:w="1805" w:type="dxa"/>
            <w:vAlign w:val="center"/>
          </w:tcPr>
          <w:p w14:paraId="278E4601" w14:textId="77777777" w:rsidR="000E1300" w:rsidRDefault="00000000" w:rsidP="00112E6C">
            <w:pPr>
              <w:jc w:val="center"/>
            </w:pPr>
            <w:r>
              <w:rPr>
                <w:sz w:val="22"/>
              </w:rPr>
              <w:t>9,320</w:t>
            </w:r>
          </w:p>
        </w:tc>
        <w:tc>
          <w:tcPr>
            <w:tcW w:w="1805" w:type="dxa"/>
            <w:vAlign w:val="center"/>
          </w:tcPr>
          <w:p w14:paraId="18204AEA" w14:textId="77777777" w:rsidR="000E1300" w:rsidRDefault="00000000" w:rsidP="00112E6C">
            <w:pPr>
              <w:jc w:val="center"/>
            </w:pPr>
            <w:r>
              <w:rPr>
                <w:sz w:val="22"/>
              </w:rPr>
              <w:t>+370</w:t>
            </w:r>
          </w:p>
        </w:tc>
        <w:tc>
          <w:tcPr>
            <w:tcW w:w="1805" w:type="dxa"/>
            <w:vAlign w:val="center"/>
          </w:tcPr>
          <w:p w14:paraId="29E6AF7A" w14:textId="77777777" w:rsidR="000E1300" w:rsidRDefault="00000000" w:rsidP="00112E6C">
            <w:pPr>
              <w:jc w:val="center"/>
            </w:pPr>
            <w:r>
              <w:rPr>
                <w:sz w:val="22"/>
              </w:rPr>
              <w:t>+4.13%</w:t>
            </w:r>
          </w:p>
        </w:tc>
      </w:tr>
      <w:tr w:rsidR="000E1300" w14:paraId="2EDE721D" w14:textId="77777777">
        <w:trPr>
          <w:jc w:val="center"/>
        </w:trPr>
        <w:tc>
          <w:tcPr>
            <w:tcW w:w="1805" w:type="dxa"/>
            <w:vAlign w:val="center"/>
          </w:tcPr>
          <w:p w14:paraId="585C731D" w14:textId="77777777" w:rsidR="000E1300" w:rsidRDefault="00000000" w:rsidP="00112E6C">
            <w:r>
              <w:rPr>
                <w:sz w:val="22"/>
              </w:rPr>
              <w:t>Net Profit</w:t>
            </w:r>
          </w:p>
        </w:tc>
        <w:tc>
          <w:tcPr>
            <w:tcW w:w="1805" w:type="dxa"/>
            <w:vAlign w:val="center"/>
          </w:tcPr>
          <w:p w14:paraId="6DB8F45A" w14:textId="77777777" w:rsidR="000E1300" w:rsidRDefault="00000000" w:rsidP="00112E6C">
            <w:pPr>
              <w:jc w:val="center"/>
            </w:pPr>
            <w:r>
              <w:rPr>
                <w:sz w:val="22"/>
              </w:rPr>
              <w:t>6,110</w:t>
            </w:r>
          </w:p>
        </w:tc>
        <w:tc>
          <w:tcPr>
            <w:tcW w:w="1805" w:type="dxa"/>
            <w:vAlign w:val="center"/>
          </w:tcPr>
          <w:p w14:paraId="6B831236" w14:textId="77777777" w:rsidR="000E1300" w:rsidRDefault="00000000" w:rsidP="00112E6C">
            <w:pPr>
              <w:jc w:val="center"/>
            </w:pPr>
            <w:r>
              <w:rPr>
                <w:sz w:val="22"/>
              </w:rPr>
              <w:t>6,780</w:t>
            </w:r>
          </w:p>
        </w:tc>
        <w:tc>
          <w:tcPr>
            <w:tcW w:w="1805" w:type="dxa"/>
            <w:vAlign w:val="center"/>
          </w:tcPr>
          <w:p w14:paraId="1E5E82A7" w14:textId="77777777" w:rsidR="000E1300" w:rsidRDefault="00000000" w:rsidP="00112E6C">
            <w:pPr>
              <w:jc w:val="center"/>
            </w:pPr>
            <w:r>
              <w:rPr>
                <w:sz w:val="22"/>
              </w:rPr>
              <w:t>+670</w:t>
            </w:r>
          </w:p>
        </w:tc>
        <w:tc>
          <w:tcPr>
            <w:tcW w:w="1805" w:type="dxa"/>
            <w:vAlign w:val="center"/>
          </w:tcPr>
          <w:p w14:paraId="2AC6FCD6" w14:textId="77777777" w:rsidR="000E1300" w:rsidRDefault="00000000" w:rsidP="00112E6C">
            <w:pPr>
              <w:jc w:val="center"/>
            </w:pPr>
            <w:r>
              <w:rPr>
                <w:sz w:val="22"/>
              </w:rPr>
              <w:t>+10.97%</w:t>
            </w:r>
          </w:p>
        </w:tc>
      </w:tr>
      <w:tr w:rsidR="000E1300" w14:paraId="4433FA85" w14:textId="77777777">
        <w:trPr>
          <w:jc w:val="center"/>
        </w:trPr>
        <w:tc>
          <w:tcPr>
            <w:tcW w:w="1805" w:type="dxa"/>
            <w:vAlign w:val="center"/>
          </w:tcPr>
          <w:p w14:paraId="26CC8A3E" w14:textId="77777777" w:rsidR="000E1300" w:rsidRDefault="00000000" w:rsidP="00112E6C">
            <w:r>
              <w:rPr>
                <w:sz w:val="22"/>
              </w:rPr>
              <w:t>Total Assets</w:t>
            </w:r>
          </w:p>
        </w:tc>
        <w:tc>
          <w:tcPr>
            <w:tcW w:w="1805" w:type="dxa"/>
            <w:vAlign w:val="center"/>
          </w:tcPr>
          <w:p w14:paraId="0FE03FD9" w14:textId="77777777" w:rsidR="000E1300" w:rsidRDefault="00000000" w:rsidP="00112E6C">
            <w:pPr>
              <w:jc w:val="center"/>
            </w:pPr>
            <w:r>
              <w:rPr>
                <w:sz w:val="22"/>
              </w:rPr>
              <w:t>81,600</w:t>
            </w:r>
          </w:p>
        </w:tc>
        <w:tc>
          <w:tcPr>
            <w:tcW w:w="1805" w:type="dxa"/>
            <w:vAlign w:val="center"/>
          </w:tcPr>
          <w:p w14:paraId="28FE1AB6" w14:textId="77777777" w:rsidR="000E1300" w:rsidRDefault="00000000" w:rsidP="00112E6C">
            <w:pPr>
              <w:jc w:val="center"/>
            </w:pPr>
            <w:r>
              <w:rPr>
                <w:sz w:val="22"/>
              </w:rPr>
              <w:t>77,450</w:t>
            </w:r>
          </w:p>
        </w:tc>
        <w:tc>
          <w:tcPr>
            <w:tcW w:w="1805" w:type="dxa"/>
            <w:vAlign w:val="center"/>
          </w:tcPr>
          <w:p w14:paraId="37537868" w14:textId="77777777" w:rsidR="000E1300" w:rsidRDefault="00000000" w:rsidP="00112E6C">
            <w:pPr>
              <w:jc w:val="center"/>
            </w:pPr>
            <w:r>
              <w:rPr>
                <w:sz w:val="22"/>
              </w:rPr>
              <w:t>-4,150</w:t>
            </w:r>
          </w:p>
        </w:tc>
        <w:tc>
          <w:tcPr>
            <w:tcW w:w="1805" w:type="dxa"/>
            <w:vAlign w:val="center"/>
          </w:tcPr>
          <w:p w14:paraId="183F01C7" w14:textId="77777777" w:rsidR="000E1300" w:rsidRDefault="00000000" w:rsidP="00112E6C">
            <w:pPr>
              <w:jc w:val="center"/>
            </w:pPr>
            <w:r>
              <w:rPr>
                <w:sz w:val="22"/>
              </w:rPr>
              <w:t>-5.09%</w:t>
            </w:r>
          </w:p>
        </w:tc>
      </w:tr>
      <w:tr w:rsidR="000E1300" w14:paraId="322F2E73" w14:textId="77777777">
        <w:trPr>
          <w:jc w:val="center"/>
        </w:trPr>
        <w:tc>
          <w:tcPr>
            <w:tcW w:w="1805" w:type="dxa"/>
            <w:vAlign w:val="center"/>
          </w:tcPr>
          <w:p w14:paraId="191EA83F" w14:textId="77777777" w:rsidR="000E1300" w:rsidRDefault="00000000" w:rsidP="00112E6C">
            <w:r>
              <w:rPr>
                <w:sz w:val="22"/>
              </w:rPr>
              <w:t>Current Assets</w:t>
            </w:r>
          </w:p>
        </w:tc>
        <w:tc>
          <w:tcPr>
            <w:tcW w:w="1805" w:type="dxa"/>
            <w:vAlign w:val="center"/>
          </w:tcPr>
          <w:p w14:paraId="482929E4" w14:textId="77777777" w:rsidR="000E1300" w:rsidRDefault="00000000" w:rsidP="00112E6C">
            <w:pPr>
              <w:jc w:val="center"/>
            </w:pPr>
            <w:r>
              <w:rPr>
                <w:sz w:val="22"/>
              </w:rPr>
              <w:t>21,300</w:t>
            </w:r>
          </w:p>
        </w:tc>
        <w:tc>
          <w:tcPr>
            <w:tcW w:w="1805" w:type="dxa"/>
            <w:vAlign w:val="center"/>
          </w:tcPr>
          <w:p w14:paraId="6E38E1B9" w14:textId="77777777" w:rsidR="000E1300" w:rsidRDefault="00000000" w:rsidP="00112E6C">
            <w:pPr>
              <w:jc w:val="center"/>
            </w:pPr>
            <w:r>
              <w:rPr>
                <w:sz w:val="22"/>
              </w:rPr>
              <w:t>19,750</w:t>
            </w:r>
          </w:p>
        </w:tc>
        <w:tc>
          <w:tcPr>
            <w:tcW w:w="1805" w:type="dxa"/>
            <w:vAlign w:val="center"/>
          </w:tcPr>
          <w:p w14:paraId="17386481" w14:textId="77777777" w:rsidR="000E1300" w:rsidRDefault="00000000" w:rsidP="00112E6C">
            <w:pPr>
              <w:jc w:val="center"/>
            </w:pPr>
            <w:r>
              <w:rPr>
                <w:sz w:val="22"/>
              </w:rPr>
              <w:t>-1,550</w:t>
            </w:r>
          </w:p>
        </w:tc>
        <w:tc>
          <w:tcPr>
            <w:tcW w:w="1805" w:type="dxa"/>
            <w:vAlign w:val="center"/>
          </w:tcPr>
          <w:p w14:paraId="69746AB9" w14:textId="77777777" w:rsidR="000E1300" w:rsidRDefault="00000000" w:rsidP="00112E6C">
            <w:pPr>
              <w:jc w:val="center"/>
            </w:pPr>
            <w:r>
              <w:rPr>
                <w:sz w:val="22"/>
              </w:rPr>
              <w:t>-7.28%</w:t>
            </w:r>
          </w:p>
        </w:tc>
      </w:tr>
      <w:tr w:rsidR="000E1300" w14:paraId="3D82B4AB" w14:textId="77777777">
        <w:trPr>
          <w:jc w:val="center"/>
        </w:trPr>
        <w:tc>
          <w:tcPr>
            <w:tcW w:w="1805" w:type="dxa"/>
            <w:vAlign w:val="center"/>
          </w:tcPr>
          <w:p w14:paraId="5715B330" w14:textId="77777777" w:rsidR="000E1300" w:rsidRDefault="00000000" w:rsidP="00112E6C">
            <w:r>
              <w:rPr>
                <w:sz w:val="22"/>
              </w:rPr>
              <w:t>Current Liabilities</w:t>
            </w:r>
          </w:p>
        </w:tc>
        <w:tc>
          <w:tcPr>
            <w:tcW w:w="1805" w:type="dxa"/>
            <w:vAlign w:val="center"/>
          </w:tcPr>
          <w:p w14:paraId="7688283A" w14:textId="77777777" w:rsidR="000E1300" w:rsidRDefault="00000000" w:rsidP="00112E6C">
            <w:pPr>
              <w:jc w:val="center"/>
            </w:pPr>
            <w:r>
              <w:rPr>
                <w:sz w:val="22"/>
              </w:rPr>
              <w:t>26,100</w:t>
            </w:r>
          </w:p>
        </w:tc>
        <w:tc>
          <w:tcPr>
            <w:tcW w:w="1805" w:type="dxa"/>
            <w:vAlign w:val="center"/>
          </w:tcPr>
          <w:p w14:paraId="607C3992" w14:textId="77777777" w:rsidR="000E1300" w:rsidRDefault="00000000" w:rsidP="00112E6C">
            <w:pPr>
              <w:jc w:val="center"/>
            </w:pPr>
            <w:r>
              <w:rPr>
                <w:sz w:val="22"/>
              </w:rPr>
              <w:t>24,800</w:t>
            </w:r>
          </w:p>
        </w:tc>
        <w:tc>
          <w:tcPr>
            <w:tcW w:w="1805" w:type="dxa"/>
            <w:vAlign w:val="center"/>
          </w:tcPr>
          <w:p w14:paraId="18B983A9" w14:textId="77777777" w:rsidR="000E1300" w:rsidRDefault="00000000" w:rsidP="00112E6C">
            <w:pPr>
              <w:jc w:val="center"/>
            </w:pPr>
            <w:r>
              <w:rPr>
                <w:sz w:val="22"/>
              </w:rPr>
              <w:t>-1,300</w:t>
            </w:r>
          </w:p>
        </w:tc>
        <w:tc>
          <w:tcPr>
            <w:tcW w:w="1805" w:type="dxa"/>
            <w:vAlign w:val="center"/>
          </w:tcPr>
          <w:p w14:paraId="1FFCBA45" w14:textId="77777777" w:rsidR="000E1300" w:rsidRDefault="00000000" w:rsidP="00112E6C">
            <w:pPr>
              <w:jc w:val="center"/>
            </w:pPr>
            <w:r>
              <w:rPr>
                <w:sz w:val="22"/>
              </w:rPr>
              <w:t>-4.98%</w:t>
            </w:r>
          </w:p>
        </w:tc>
      </w:tr>
      <w:tr w:rsidR="000E1300" w14:paraId="3515F38E" w14:textId="77777777">
        <w:trPr>
          <w:jc w:val="center"/>
        </w:trPr>
        <w:tc>
          <w:tcPr>
            <w:tcW w:w="1805" w:type="dxa"/>
            <w:vAlign w:val="center"/>
          </w:tcPr>
          <w:p w14:paraId="5A59E886" w14:textId="77777777" w:rsidR="000E1300" w:rsidRDefault="00000000" w:rsidP="00112E6C">
            <w:r>
              <w:rPr>
                <w:sz w:val="22"/>
              </w:rPr>
              <w:t>Shareholders’ Equity</w:t>
            </w:r>
          </w:p>
        </w:tc>
        <w:tc>
          <w:tcPr>
            <w:tcW w:w="1805" w:type="dxa"/>
            <w:vAlign w:val="center"/>
          </w:tcPr>
          <w:p w14:paraId="463A45CE" w14:textId="77777777" w:rsidR="000E1300" w:rsidRDefault="00000000" w:rsidP="00112E6C">
            <w:pPr>
              <w:jc w:val="center"/>
            </w:pPr>
            <w:r>
              <w:rPr>
                <w:sz w:val="22"/>
              </w:rPr>
              <w:t>22,400</w:t>
            </w:r>
          </w:p>
        </w:tc>
        <w:tc>
          <w:tcPr>
            <w:tcW w:w="1805" w:type="dxa"/>
            <w:vAlign w:val="center"/>
          </w:tcPr>
          <w:p w14:paraId="4494C39B" w14:textId="77777777" w:rsidR="000E1300" w:rsidRDefault="00000000" w:rsidP="00112E6C">
            <w:pPr>
              <w:jc w:val="center"/>
            </w:pPr>
            <w:r>
              <w:rPr>
                <w:sz w:val="22"/>
              </w:rPr>
              <w:t>21,050</w:t>
            </w:r>
          </w:p>
        </w:tc>
        <w:tc>
          <w:tcPr>
            <w:tcW w:w="1805" w:type="dxa"/>
            <w:vAlign w:val="center"/>
          </w:tcPr>
          <w:p w14:paraId="1A20EDFF" w14:textId="77777777" w:rsidR="000E1300" w:rsidRDefault="00000000" w:rsidP="00112E6C">
            <w:pPr>
              <w:jc w:val="center"/>
            </w:pPr>
            <w:r>
              <w:rPr>
                <w:sz w:val="22"/>
              </w:rPr>
              <w:t>-1,350</w:t>
            </w:r>
          </w:p>
        </w:tc>
        <w:tc>
          <w:tcPr>
            <w:tcW w:w="1805" w:type="dxa"/>
            <w:vAlign w:val="center"/>
          </w:tcPr>
          <w:p w14:paraId="7C571D8F" w14:textId="77777777" w:rsidR="000E1300" w:rsidRDefault="00000000" w:rsidP="00112E6C">
            <w:pPr>
              <w:jc w:val="center"/>
            </w:pPr>
            <w:r>
              <w:rPr>
                <w:sz w:val="22"/>
              </w:rPr>
              <w:t>-6.03%</w:t>
            </w:r>
          </w:p>
        </w:tc>
      </w:tr>
      <w:tr w:rsidR="000E1300" w14:paraId="638D168B" w14:textId="77777777">
        <w:trPr>
          <w:jc w:val="center"/>
        </w:trPr>
        <w:tc>
          <w:tcPr>
            <w:tcW w:w="1805" w:type="dxa"/>
            <w:vAlign w:val="center"/>
          </w:tcPr>
          <w:p w14:paraId="262D6B20" w14:textId="77777777" w:rsidR="000E1300" w:rsidRDefault="00000000" w:rsidP="00112E6C">
            <w:r>
              <w:rPr>
                <w:sz w:val="22"/>
              </w:rPr>
              <w:t>Total Debt</w:t>
            </w:r>
          </w:p>
        </w:tc>
        <w:tc>
          <w:tcPr>
            <w:tcW w:w="1805" w:type="dxa"/>
            <w:vAlign w:val="center"/>
          </w:tcPr>
          <w:p w14:paraId="37736A9D" w14:textId="77777777" w:rsidR="000E1300" w:rsidRDefault="00000000" w:rsidP="00112E6C">
            <w:pPr>
              <w:jc w:val="center"/>
            </w:pPr>
            <w:r>
              <w:rPr>
                <w:sz w:val="22"/>
              </w:rPr>
              <w:t>31,800</w:t>
            </w:r>
          </w:p>
        </w:tc>
        <w:tc>
          <w:tcPr>
            <w:tcW w:w="1805" w:type="dxa"/>
            <w:vAlign w:val="center"/>
          </w:tcPr>
          <w:p w14:paraId="61CDE785" w14:textId="77777777" w:rsidR="000E1300" w:rsidRDefault="00000000" w:rsidP="00112E6C">
            <w:pPr>
              <w:jc w:val="center"/>
            </w:pPr>
            <w:r>
              <w:rPr>
                <w:sz w:val="22"/>
              </w:rPr>
              <w:t>29,600</w:t>
            </w:r>
          </w:p>
        </w:tc>
        <w:tc>
          <w:tcPr>
            <w:tcW w:w="1805" w:type="dxa"/>
            <w:vAlign w:val="center"/>
          </w:tcPr>
          <w:p w14:paraId="3337B508" w14:textId="77777777" w:rsidR="000E1300" w:rsidRDefault="00000000" w:rsidP="00112E6C">
            <w:pPr>
              <w:jc w:val="center"/>
            </w:pPr>
            <w:r>
              <w:rPr>
                <w:sz w:val="22"/>
              </w:rPr>
              <w:t>-2,200</w:t>
            </w:r>
          </w:p>
        </w:tc>
        <w:tc>
          <w:tcPr>
            <w:tcW w:w="1805" w:type="dxa"/>
            <w:vAlign w:val="center"/>
          </w:tcPr>
          <w:p w14:paraId="7B28B3F7" w14:textId="77777777" w:rsidR="000E1300" w:rsidRDefault="00000000" w:rsidP="00112E6C">
            <w:pPr>
              <w:jc w:val="center"/>
            </w:pPr>
            <w:r>
              <w:rPr>
                <w:sz w:val="22"/>
              </w:rPr>
              <w:t>-6.92%</w:t>
            </w:r>
          </w:p>
        </w:tc>
      </w:tr>
      <w:tr w:rsidR="000E1300" w14:paraId="2536A187" w14:textId="77777777">
        <w:trPr>
          <w:jc w:val="center"/>
        </w:trPr>
        <w:tc>
          <w:tcPr>
            <w:tcW w:w="1805" w:type="dxa"/>
            <w:vAlign w:val="center"/>
          </w:tcPr>
          <w:p w14:paraId="36A6D074" w14:textId="77777777" w:rsidR="000E1300" w:rsidRDefault="00000000" w:rsidP="00112E6C">
            <w:r>
              <w:rPr>
                <w:sz w:val="22"/>
              </w:rPr>
              <w:t>Free Cash Flow</w:t>
            </w:r>
          </w:p>
        </w:tc>
        <w:tc>
          <w:tcPr>
            <w:tcW w:w="1805" w:type="dxa"/>
            <w:vAlign w:val="center"/>
          </w:tcPr>
          <w:p w14:paraId="3897B294" w14:textId="77777777" w:rsidR="000E1300" w:rsidRDefault="00000000" w:rsidP="00112E6C">
            <w:pPr>
              <w:jc w:val="center"/>
            </w:pPr>
            <w:r>
              <w:rPr>
                <w:sz w:val="22"/>
              </w:rPr>
              <w:t>7,250</w:t>
            </w:r>
          </w:p>
        </w:tc>
        <w:tc>
          <w:tcPr>
            <w:tcW w:w="1805" w:type="dxa"/>
            <w:vAlign w:val="center"/>
          </w:tcPr>
          <w:p w14:paraId="2EAAB9B3" w14:textId="77777777" w:rsidR="000E1300" w:rsidRDefault="00000000" w:rsidP="00112E6C">
            <w:pPr>
              <w:jc w:val="center"/>
            </w:pPr>
            <w:r>
              <w:rPr>
                <w:sz w:val="22"/>
              </w:rPr>
              <w:t>7,540</w:t>
            </w:r>
          </w:p>
        </w:tc>
        <w:tc>
          <w:tcPr>
            <w:tcW w:w="1805" w:type="dxa"/>
            <w:vAlign w:val="center"/>
          </w:tcPr>
          <w:p w14:paraId="66A2CB03" w14:textId="77777777" w:rsidR="000E1300" w:rsidRDefault="00000000" w:rsidP="00112E6C">
            <w:pPr>
              <w:jc w:val="center"/>
            </w:pPr>
            <w:r>
              <w:rPr>
                <w:sz w:val="22"/>
              </w:rPr>
              <w:t>+290</w:t>
            </w:r>
          </w:p>
        </w:tc>
        <w:tc>
          <w:tcPr>
            <w:tcW w:w="1805" w:type="dxa"/>
            <w:vAlign w:val="center"/>
          </w:tcPr>
          <w:p w14:paraId="0E531AC5" w14:textId="77777777" w:rsidR="000E1300" w:rsidRDefault="00000000" w:rsidP="00112E6C">
            <w:pPr>
              <w:jc w:val="center"/>
            </w:pPr>
            <w:r>
              <w:rPr>
                <w:sz w:val="22"/>
              </w:rPr>
              <w:t>+4.00%</w:t>
            </w:r>
          </w:p>
        </w:tc>
      </w:tr>
    </w:tbl>
    <w:p w14:paraId="3BDF8718" w14:textId="77777777" w:rsidR="000E1300" w:rsidRDefault="00000000" w:rsidP="00112E6C">
      <w:pPr>
        <w:pStyle w:val="Heading2"/>
      </w:pPr>
      <w:bookmarkStart w:id="12" w:name="_Toc227857111"/>
      <w:r>
        <w:t>Appendix 3: ESG evidence summary</w:t>
      </w:r>
      <w:bookmarkEnd w:id="12"/>
    </w:p>
    <w:tbl>
      <w:tblPr>
        <w:tblStyle w:val="TableGrid"/>
        <w:tblW w:w="0" w:type="auto"/>
        <w:jc w:val="center"/>
        <w:tblLook w:val="04A0" w:firstRow="1" w:lastRow="0" w:firstColumn="1" w:lastColumn="0" w:noHBand="0" w:noVBand="1"/>
      </w:tblPr>
      <w:tblGrid>
        <w:gridCol w:w="2256"/>
        <w:gridCol w:w="2256"/>
        <w:gridCol w:w="2256"/>
        <w:gridCol w:w="2256"/>
      </w:tblGrid>
      <w:tr w:rsidR="000E1300" w14:paraId="4A8E58B4" w14:textId="77777777">
        <w:trPr>
          <w:jc w:val="center"/>
        </w:trPr>
        <w:tc>
          <w:tcPr>
            <w:tcW w:w="2256" w:type="dxa"/>
            <w:shd w:val="clear" w:color="auto" w:fill="D9EAF7"/>
            <w:vAlign w:val="center"/>
          </w:tcPr>
          <w:p w14:paraId="094E6F66" w14:textId="77777777" w:rsidR="000E1300" w:rsidRDefault="00000000" w:rsidP="00112E6C">
            <w:pPr>
              <w:jc w:val="center"/>
            </w:pPr>
            <w:r>
              <w:rPr>
                <w:b/>
                <w:sz w:val="22"/>
              </w:rPr>
              <w:t>Theme</w:t>
            </w:r>
          </w:p>
        </w:tc>
        <w:tc>
          <w:tcPr>
            <w:tcW w:w="2256" w:type="dxa"/>
            <w:shd w:val="clear" w:color="auto" w:fill="D9EAF7"/>
            <w:vAlign w:val="center"/>
          </w:tcPr>
          <w:p w14:paraId="21146111" w14:textId="77777777" w:rsidR="000E1300" w:rsidRDefault="00000000" w:rsidP="00112E6C">
            <w:pPr>
              <w:jc w:val="center"/>
            </w:pPr>
            <w:r>
              <w:rPr>
                <w:b/>
                <w:sz w:val="22"/>
              </w:rPr>
              <w:t>Evidence</w:t>
            </w:r>
          </w:p>
        </w:tc>
        <w:tc>
          <w:tcPr>
            <w:tcW w:w="2256" w:type="dxa"/>
            <w:shd w:val="clear" w:color="auto" w:fill="D9EAF7"/>
            <w:vAlign w:val="center"/>
          </w:tcPr>
          <w:p w14:paraId="25DC87D1" w14:textId="77777777" w:rsidR="000E1300" w:rsidRDefault="00000000" w:rsidP="00112E6C">
            <w:pPr>
              <w:jc w:val="center"/>
            </w:pPr>
            <w:r>
              <w:rPr>
                <w:b/>
                <w:sz w:val="22"/>
              </w:rPr>
              <w:t>Strategic / financial relevance</w:t>
            </w:r>
          </w:p>
        </w:tc>
        <w:tc>
          <w:tcPr>
            <w:tcW w:w="2256" w:type="dxa"/>
            <w:shd w:val="clear" w:color="auto" w:fill="D9EAF7"/>
            <w:vAlign w:val="center"/>
          </w:tcPr>
          <w:p w14:paraId="18533113" w14:textId="77777777" w:rsidR="000E1300" w:rsidRDefault="00000000" w:rsidP="00112E6C">
            <w:pPr>
              <w:jc w:val="center"/>
            </w:pPr>
            <w:r>
              <w:rPr>
                <w:b/>
                <w:sz w:val="22"/>
              </w:rPr>
              <w:t>Key limitation</w:t>
            </w:r>
          </w:p>
        </w:tc>
      </w:tr>
      <w:tr w:rsidR="000E1300" w14:paraId="421D95A6" w14:textId="77777777">
        <w:trPr>
          <w:jc w:val="center"/>
        </w:trPr>
        <w:tc>
          <w:tcPr>
            <w:tcW w:w="2256" w:type="dxa"/>
            <w:vAlign w:val="center"/>
          </w:tcPr>
          <w:p w14:paraId="51EDD113" w14:textId="77777777" w:rsidR="000E1300" w:rsidRDefault="00000000" w:rsidP="00112E6C">
            <w:r>
              <w:rPr>
                <w:sz w:val="22"/>
              </w:rPr>
              <w:t>Climate / operations</w:t>
            </w:r>
          </w:p>
        </w:tc>
        <w:tc>
          <w:tcPr>
            <w:tcW w:w="2256" w:type="dxa"/>
            <w:vAlign w:val="center"/>
          </w:tcPr>
          <w:p w14:paraId="2B7A9E05" w14:textId="77777777" w:rsidR="000E1300" w:rsidRDefault="00000000" w:rsidP="00112E6C">
            <w:r>
              <w:rPr>
                <w:sz w:val="22"/>
              </w:rPr>
              <w:t xml:space="preserve">Scope 1 and 2 emissions down about 72% from 2015 baseline; 2030 </w:t>
            </w:r>
            <w:r>
              <w:rPr>
                <w:sz w:val="22"/>
              </w:rPr>
              <w:lastRenderedPageBreak/>
              <w:t>operational target.</w:t>
            </w:r>
          </w:p>
        </w:tc>
        <w:tc>
          <w:tcPr>
            <w:tcW w:w="2256" w:type="dxa"/>
            <w:vAlign w:val="center"/>
          </w:tcPr>
          <w:p w14:paraId="1A0CF0AC" w14:textId="77777777" w:rsidR="000E1300" w:rsidRDefault="00000000" w:rsidP="00112E6C">
            <w:r>
              <w:rPr>
                <w:sz w:val="22"/>
              </w:rPr>
              <w:lastRenderedPageBreak/>
              <w:t>Lower transition risk, energy exposure and compliance pressure.</w:t>
            </w:r>
          </w:p>
        </w:tc>
        <w:tc>
          <w:tcPr>
            <w:tcW w:w="2256" w:type="dxa"/>
            <w:vAlign w:val="center"/>
          </w:tcPr>
          <w:p w14:paraId="7D79BB91" w14:textId="77777777" w:rsidR="000E1300" w:rsidRDefault="00000000" w:rsidP="00112E6C">
            <w:r>
              <w:rPr>
                <w:sz w:val="22"/>
              </w:rPr>
              <w:t>Does not solve wider value-chain decarbonisation challenge.</w:t>
            </w:r>
          </w:p>
        </w:tc>
      </w:tr>
      <w:tr w:rsidR="000E1300" w14:paraId="1E4A9CCF" w14:textId="77777777">
        <w:trPr>
          <w:jc w:val="center"/>
        </w:trPr>
        <w:tc>
          <w:tcPr>
            <w:tcW w:w="2256" w:type="dxa"/>
            <w:vAlign w:val="center"/>
          </w:tcPr>
          <w:p w14:paraId="0402D168" w14:textId="77777777" w:rsidR="000E1300" w:rsidRDefault="00000000" w:rsidP="00112E6C">
            <w:r>
              <w:rPr>
                <w:sz w:val="22"/>
              </w:rPr>
              <w:t>Climate / value chain</w:t>
            </w:r>
          </w:p>
        </w:tc>
        <w:tc>
          <w:tcPr>
            <w:tcW w:w="2256" w:type="dxa"/>
            <w:vAlign w:val="center"/>
          </w:tcPr>
          <w:p w14:paraId="7B283CEC" w14:textId="77777777" w:rsidR="000E1300" w:rsidRDefault="00000000" w:rsidP="00112E6C">
            <w:r>
              <w:rPr>
                <w:sz w:val="22"/>
              </w:rPr>
              <w:t>Scope 3 FLAG down about 14%; energy and industrial down about 8% versus 2021 baseline.</w:t>
            </w:r>
          </w:p>
        </w:tc>
        <w:tc>
          <w:tcPr>
            <w:tcW w:w="2256" w:type="dxa"/>
            <w:vAlign w:val="center"/>
          </w:tcPr>
          <w:p w14:paraId="51B62823" w14:textId="77777777" w:rsidR="000E1300" w:rsidRDefault="00000000" w:rsidP="00112E6C">
            <w:r>
              <w:rPr>
                <w:sz w:val="22"/>
              </w:rPr>
              <w:t>Shows progress in harder-to-abate categories that influence raw-material and packaging risk.</w:t>
            </w:r>
          </w:p>
        </w:tc>
        <w:tc>
          <w:tcPr>
            <w:tcW w:w="2256" w:type="dxa"/>
            <w:vAlign w:val="center"/>
          </w:tcPr>
          <w:p w14:paraId="542EB10A" w14:textId="77777777" w:rsidR="000E1300" w:rsidRDefault="00000000" w:rsidP="00112E6C">
            <w:r>
              <w:rPr>
                <w:sz w:val="22"/>
              </w:rPr>
              <w:t>Depends heavily on suppliers, data quality and system-wide change.</w:t>
            </w:r>
          </w:p>
        </w:tc>
      </w:tr>
      <w:tr w:rsidR="000E1300" w14:paraId="1E6F3818" w14:textId="77777777">
        <w:trPr>
          <w:jc w:val="center"/>
        </w:trPr>
        <w:tc>
          <w:tcPr>
            <w:tcW w:w="2256" w:type="dxa"/>
            <w:vAlign w:val="center"/>
          </w:tcPr>
          <w:p w14:paraId="2F6E7250" w14:textId="77777777" w:rsidR="000E1300" w:rsidRDefault="00000000" w:rsidP="00112E6C">
            <w:r>
              <w:rPr>
                <w:sz w:val="22"/>
              </w:rPr>
              <w:t>Packaging / circularity</w:t>
            </w:r>
          </w:p>
        </w:tc>
        <w:tc>
          <w:tcPr>
            <w:tcW w:w="2256" w:type="dxa"/>
            <w:vAlign w:val="center"/>
          </w:tcPr>
          <w:p w14:paraId="3B243AFC" w14:textId="77777777" w:rsidR="000E1300" w:rsidRDefault="00000000" w:rsidP="00112E6C">
            <w:r>
              <w:rPr>
                <w:sz w:val="22"/>
              </w:rPr>
              <w:t>Virgin plastic down about 23%; target 30% by 2026.</w:t>
            </w:r>
          </w:p>
        </w:tc>
        <w:tc>
          <w:tcPr>
            <w:tcW w:w="2256" w:type="dxa"/>
            <w:vAlign w:val="center"/>
          </w:tcPr>
          <w:p w14:paraId="77F799CE" w14:textId="77777777" w:rsidR="000E1300" w:rsidRDefault="00000000" w:rsidP="00112E6C">
            <w:r>
              <w:rPr>
                <w:sz w:val="22"/>
              </w:rPr>
              <w:t>Supports regulatory readiness, material efficiency and brand protection.</w:t>
            </w:r>
          </w:p>
        </w:tc>
        <w:tc>
          <w:tcPr>
            <w:tcW w:w="2256" w:type="dxa"/>
            <w:vAlign w:val="center"/>
          </w:tcPr>
          <w:p w14:paraId="70D45FE1" w14:textId="77777777" w:rsidR="000E1300" w:rsidRDefault="00000000" w:rsidP="00112E6C">
            <w:r>
              <w:rPr>
                <w:sz w:val="22"/>
              </w:rPr>
              <w:t>Requires capital, redesign effort and adoption at scale.</w:t>
            </w:r>
          </w:p>
        </w:tc>
      </w:tr>
      <w:tr w:rsidR="000E1300" w14:paraId="41DF6B0B" w14:textId="77777777">
        <w:trPr>
          <w:jc w:val="center"/>
        </w:trPr>
        <w:tc>
          <w:tcPr>
            <w:tcW w:w="2256" w:type="dxa"/>
            <w:vAlign w:val="center"/>
          </w:tcPr>
          <w:p w14:paraId="2BC7C637" w14:textId="77777777" w:rsidR="000E1300" w:rsidRDefault="00000000" w:rsidP="00112E6C">
            <w:r>
              <w:rPr>
                <w:sz w:val="22"/>
              </w:rPr>
              <w:t>Responsible sourcing</w:t>
            </w:r>
          </w:p>
        </w:tc>
        <w:tc>
          <w:tcPr>
            <w:tcW w:w="2256" w:type="dxa"/>
            <w:vAlign w:val="center"/>
          </w:tcPr>
          <w:p w14:paraId="2A0BE920" w14:textId="77777777" w:rsidR="000E1300" w:rsidRDefault="00000000" w:rsidP="00112E6C">
            <w:r>
              <w:rPr>
                <w:sz w:val="22"/>
              </w:rPr>
              <w:t>Around 97% deforestation-free sourcing across key commodities.</w:t>
            </w:r>
          </w:p>
        </w:tc>
        <w:tc>
          <w:tcPr>
            <w:tcW w:w="2256" w:type="dxa"/>
            <w:vAlign w:val="center"/>
          </w:tcPr>
          <w:p w14:paraId="25FB2C7F" w14:textId="77777777" w:rsidR="000E1300" w:rsidRDefault="00000000" w:rsidP="00112E6C">
            <w:r>
              <w:rPr>
                <w:sz w:val="22"/>
              </w:rPr>
              <w:t>Strengthens supply assurance and reduces reputational and regulatory exposure.</w:t>
            </w:r>
          </w:p>
        </w:tc>
        <w:tc>
          <w:tcPr>
            <w:tcW w:w="2256" w:type="dxa"/>
            <w:vAlign w:val="center"/>
          </w:tcPr>
          <w:p w14:paraId="2FE6BCA2" w14:textId="77777777" w:rsidR="000E1300" w:rsidRDefault="00000000" w:rsidP="00112E6C">
            <w:r>
              <w:rPr>
                <w:sz w:val="22"/>
              </w:rPr>
              <w:t>Residual exposure remains because performance is not yet complete.</w:t>
            </w:r>
          </w:p>
        </w:tc>
      </w:tr>
      <w:tr w:rsidR="000E1300" w14:paraId="0589D0EE" w14:textId="77777777">
        <w:trPr>
          <w:jc w:val="center"/>
        </w:trPr>
        <w:tc>
          <w:tcPr>
            <w:tcW w:w="2256" w:type="dxa"/>
            <w:vAlign w:val="center"/>
          </w:tcPr>
          <w:p w14:paraId="331A56D2" w14:textId="77777777" w:rsidR="000E1300" w:rsidRDefault="00000000" w:rsidP="00112E6C">
            <w:r>
              <w:rPr>
                <w:sz w:val="22"/>
              </w:rPr>
              <w:t>Social / livelihoods</w:t>
            </w:r>
          </w:p>
        </w:tc>
        <w:tc>
          <w:tcPr>
            <w:tcW w:w="2256" w:type="dxa"/>
            <w:vAlign w:val="center"/>
          </w:tcPr>
          <w:p w14:paraId="14817741" w14:textId="77777777" w:rsidR="000E1300" w:rsidRDefault="00000000" w:rsidP="00112E6C">
            <w:r>
              <w:rPr>
                <w:sz w:val="22"/>
              </w:rPr>
              <w:t>Smallholder, living-wage and SME support programmes in value chain.</w:t>
            </w:r>
          </w:p>
        </w:tc>
        <w:tc>
          <w:tcPr>
            <w:tcW w:w="2256" w:type="dxa"/>
            <w:vAlign w:val="center"/>
          </w:tcPr>
          <w:p w14:paraId="45C8BE99" w14:textId="77777777" w:rsidR="000E1300" w:rsidRDefault="00000000" w:rsidP="00112E6C">
            <w:r>
              <w:rPr>
                <w:sz w:val="22"/>
              </w:rPr>
              <w:t>Can improve supply resilience, supplier capability and trust.</w:t>
            </w:r>
          </w:p>
        </w:tc>
        <w:tc>
          <w:tcPr>
            <w:tcW w:w="2256" w:type="dxa"/>
            <w:vAlign w:val="center"/>
          </w:tcPr>
          <w:p w14:paraId="4144C016" w14:textId="77777777" w:rsidR="000E1300" w:rsidRDefault="00000000" w:rsidP="00112E6C">
            <w:r>
              <w:rPr>
                <w:sz w:val="22"/>
              </w:rPr>
              <w:t>Social outcomes are harder to measure and verify consistently.</w:t>
            </w:r>
          </w:p>
        </w:tc>
      </w:tr>
      <w:tr w:rsidR="000E1300" w14:paraId="27241C3F" w14:textId="77777777">
        <w:trPr>
          <w:jc w:val="center"/>
        </w:trPr>
        <w:tc>
          <w:tcPr>
            <w:tcW w:w="2256" w:type="dxa"/>
            <w:vAlign w:val="center"/>
          </w:tcPr>
          <w:p w14:paraId="1320F223" w14:textId="77777777" w:rsidR="000E1300" w:rsidRDefault="00000000" w:rsidP="00112E6C">
            <w:r>
              <w:rPr>
                <w:sz w:val="22"/>
              </w:rPr>
              <w:t>Governance / disclosure</w:t>
            </w:r>
          </w:p>
        </w:tc>
        <w:tc>
          <w:tcPr>
            <w:tcW w:w="2256" w:type="dxa"/>
            <w:vAlign w:val="center"/>
          </w:tcPr>
          <w:p w14:paraId="71F5DA9D" w14:textId="77777777" w:rsidR="000E1300" w:rsidRDefault="00000000" w:rsidP="00112E6C">
            <w:r>
              <w:rPr>
                <w:sz w:val="22"/>
              </w:rPr>
              <w:t>ESRS-based sustainability statement, limited assurance, board oversight and sustainability-linked incentives.</w:t>
            </w:r>
          </w:p>
        </w:tc>
        <w:tc>
          <w:tcPr>
            <w:tcW w:w="2256" w:type="dxa"/>
            <w:vAlign w:val="center"/>
          </w:tcPr>
          <w:p w14:paraId="7FD0B82F" w14:textId="77777777" w:rsidR="000E1300" w:rsidRDefault="00000000" w:rsidP="00112E6C">
            <w:r>
              <w:rPr>
                <w:sz w:val="22"/>
              </w:rPr>
              <w:t>Supports accountability, transparency and investor confidence.</w:t>
            </w:r>
          </w:p>
        </w:tc>
        <w:tc>
          <w:tcPr>
            <w:tcW w:w="2256" w:type="dxa"/>
            <w:vAlign w:val="center"/>
          </w:tcPr>
          <w:p w14:paraId="0536ECB9" w14:textId="77777777" w:rsidR="000E1300" w:rsidRDefault="00000000" w:rsidP="00112E6C">
            <w:r>
              <w:rPr>
                <w:sz w:val="22"/>
              </w:rPr>
              <w:t>Strong disclosure does not guarantee full target delivery.</w:t>
            </w:r>
          </w:p>
        </w:tc>
      </w:tr>
    </w:tbl>
    <w:p w14:paraId="2F5C68B7" w14:textId="77777777" w:rsidR="000E1300" w:rsidRDefault="00000000" w:rsidP="000C619D">
      <w:pPr>
        <w:pStyle w:val="Heading2"/>
      </w:pPr>
      <w:bookmarkStart w:id="13" w:name="_Appendix_4:_Charts"/>
      <w:bookmarkStart w:id="14" w:name="_Toc227857112"/>
      <w:bookmarkEnd w:id="13"/>
      <w:r>
        <w:lastRenderedPageBreak/>
        <w:t>Appendix 4: Charts extracted from Excel workbook</w:t>
      </w:r>
      <w:bookmarkEnd w:id="14"/>
    </w:p>
    <w:p w14:paraId="072A076E" w14:textId="77777777" w:rsidR="000E1300" w:rsidRDefault="00000000" w:rsidP="000C619D">
      <w:pPr>
        <w:rPr>
          <w:i/>
        </w:rPr>
      </w:pPr>
      <w:r>
        <w:rPr>
          <w:i/>
        </w:rPr>
        <w:t>The following charts reproduce the chart set contained in the accompanying Excel workbook, using the workbook’s chart titles and underlying case-study data.</w:t>
      </w:r>
    </w:p>
    <w:p w14:paraId="4F1575EE" w14:textId="77777777" w:rsidR="000C619D" w:rsidRDefault="000C619D" w:rsidP="000C619D">
      <w:pPr>
        <w:keepNext/>
        <w:jc w:val="center"/>
      </w:pPr>
      <w:r>
        <w:rPr>
          <w:noProof/>
        </w:rPr>
        <w:drawing>
          <wp:inline distT="0" distB="0" distL="0" distR="0" wp14:anchorId="7A60D2E2" wp14:editId="01834C88">
            <wp:extent cx="4381500" cy="2381250"/>
            <wp:effectExtent l="0" t="0" r="0" b="0"/>
            <wp:docPr id="1004591249" name="Chart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E37A2DD" w14:textId="36AF06A6" w:rsidR="000C619D" w:rsidRDefault="000C619D" w:rsidP="000C619D">
      <w:pPr>
        <w:pStyle w:val="Caption"/>
        <w:spacing w:line="480" w:lineRule="auto"/>
        <w:jc w:val="center"/>
      </w:pPr>
      <w:r>
        <w:t xml:space="preserve">Figure </w:t>
      </w:r>
      <w:fldSimple w:instr=" SEQ Figure \* ARABIC ">
        <w:r>
          <w:rPr>
            <w:noProof/>
          </w:rPr>
          <w:t>1</w:t>
        </w:r>
      </w:fldSimple>
      <w:r>
        <w:t xml:space="preserve"> </w:t>
      </w:r>
      <w:r w:rsidRPr="00E858D3">
        <w:t>Revenue, Operating Profit and Net Profit (£m)</w:t>
      </w:r>
    </w:p>
    <w:p w14:paraId="0FA7C8C9" w14:textId="77777777" w:rsidR="000C619D" w:rsidRDefault="000C619D" w:rsidP="000C619D">
      <w:pPr>
        <w:keepNext/>
        <w:jc w:val="center"/>
      </w:pPr>
      <w:r>
        <w:rPr>
          <w:noProof/>
        </w:rPr>
        <w:drawing>
          <wp:inline distT="0" distB="0" distL="0" distR="0" wp14:anchorId="5F5C28FD" wp14:editId="6D9D4946">
            <wp:extent cx="4381500" cy="2381250"/>
            <wp:effectExtent l="0" t="0" r="0" b="0"/>
            <wp:docPr id="112149170" name="Chart 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8058E22" w14:textId="637B6E2A" w:rsidR="000C619D" w:rsidRDefault="000C619D" w:rsidP="000C619D">
      <w:pPr>
        <w:pStyle w:val="Caption"/>
        <w:spacing w:line="480" w:lineRule="auto"/>
        <w:jc w:val="center"/>
      </w:pPr>
      <w:r>
        <w:t xml:space="preserve">Figure </w:t>
      </w:r>
      <w:fldSimple w:instr=" SEQ Figure \* ARABIC ">
        <w:r>
          <w:rPr>
            <w:noProof/>
          </w:rPr>
          <w:t>2</w:t>
        </w:r>
      </w:fldSimple>
      <w:r>
        <w:t xml:space="preserve"> Profitability Ratios</w:t>
      </w:r>
    </w:p>
    <w:p w14:paraId="494952DA" w14:textId="77777777" w:rsidR="000C619D" w:rsidRPr="000C619D" w:rsidRDefault="000C619D" w:rsidP="000C619D">
      <w:pPr>
        <w:jc w:val="center"/>
      </w:pPr>
    </w:p>
    <w:p w14:paraId="5F1EE34E" w14:textId="77777777" w:rsidR="000C619D" w:rsidRDefault="000C619D" w:rsidP="000C619D">
      <w:pPr>
        <w:keepNext/>
        <w:jc w:val="center"/>
      </w:pPr>
      <w:r>
        <w:rPr>
          <w:noProof/>
        </w:rPr>
        <w:lastRenderedPageBreak/>
        <w:drawing>
          <wp:inline distT="0" distB="0" distL="0" distR="0" wp14:anchorId="38EA2923" wp14:editId="0A38FC5C">
            <wp:extent cx="4381500" cy="2238375"/>
            <wp:effectExtent l="0" t="0" r="0" b="9525"/>
            <wp:docPr id="579230109" name="Chart 1">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26BBD5B" w14:textId="189C90CE" w:rsidR="000E1300" w:rsidRDefault="000C619D" w:rsidP="000C619D">
      <w:pPr>
        <w:pStyle w:val="Caption"/>
        <w:spacing w:line="480" w:lineRule="auto"/>
        <w:jc w:val="center"/>
      </w:pPr>
      <w:r>
        <w:t xml:space="preserve">Figure </w:t>
      </w:r>
      <w:fldSimple w:instr=" SEQ Figure \* ARABIC ">
        <w:r>
          <w:rPr>
            <w:noProof/>
          </w:rPr>
          <w:t>3</w:t>
        </w:r>
      </w:fldSimple>
      <w:r>
        <w:t xml:space="preserve"> Liquidity Ratios</w:t>
      </w:r>
    </w:p>
    <w:p w14:paraId="1525F5E0" w14:textId="77777777" w:rsidR="000C619D" w:rsidRDefault="000C619D" w:rsidP="000C619D">
      <w:pPr>
        <w:keepNext/>
        <w:jc w:val="center"/>
      </w:pPr>
      <w:r>
        <w:rPr>
          <w:noProof/>
        </w:rPr>
        <w:drawing>
          <wp:inline distT="0" distB="0" distL="0" distR="0" wp14:anchorId="214587BA" wp14:editId="0374A64B">
            <wp:extent cx="4381500" cy="2238375"/>
            <wp:effectExtent l="0" t="0" r="0" b="9525"/>
            <wp:docPr id="1265474914" name="Chart 1">
              <a:extLst xmlns:a="http://schemas.openxmlformats.org/drawingml/2006/main">
                <a:ext uri="{FF2B5EF4-FFF2-40B4-BE49-F238E27FC236}">
                  <a16:creationId xmlns:a16="http://schemas.microsoft.com/office/drawing/2014/main" id="{00000000-0008-0000-04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226B1F2" w14:textId="0548C128" w:rsidR="000C619D" w:rsidRPr="000C619D" w:rsidRDefault="000C619D" w:rsidP="000C619D">
      <w:pPr>
        <w:pStyle w:val="Caption"/>
        <w:spacing w:line="480" w:lineRule="auto"/>
        <w:jc w:val="center"/>
      </w:pPr>
      <w:r>
        <w:t xml:space="preserve">Figure </w:t>
      </w:r>
      <w:fldSimple w:instr=" SEQ Figure \* ARABIC ">
        <w:r>
          <w:rPr>
            <w:noProof/>
          </w:rPr>
          <w:t>4</w:t>
        </w:r>
      </w:fldSimple>
      <w:r>
        <w:t xml:space="preserve"> </w:t>
      </w:r>
      <w:r w:rsidRPr="00E97CDA">
        <w:t>leverage metrics</w:t>
      </w:r>
    </w:p>
    <w:p w14:paraId="766B2E1B" w14:textId="77777777" w:rsidR="000C619D" w:rsidRDefault="000C619D" w:rsidP="000C619D">
      <w:pPr>
        <w:keepNext/>
        <w:jc w:val="center"/>
      </w:pPr>
      <w:r>
        <w:rPr>
          <w:noProof/>
        </w:rPr>
        <w:drawing>
          <wp:inline distT="0" distB="0" distL="0" distR="0" wp14:anchorId="11BDC845" wp14:editId="38B8C68C">
            <wp:extent cx="4381500" cy="2095500"/>
            <wp:effectExtent l="0" t="0" r="0" b="0"/>
            <wp:docPr id="435448255" name="Chart 1">
              <a:extLst xmlns:a="http://schemas.openxmlformats.org/drawingml/2006/main">
                <a:ext uri="{FF2B5EF4-FFF2-40B4-BE49-F238E27FC236}">
                  <a16:creationId xmlns:a16="http://schemas.microsoft.com/office/drawing/2014/main" id="{00000000-0008-0000-04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B58C09F" w14:textId="7E239DF9" w:rsidR="000E1300" w:rsidRDefault="000C619D" w:rsidP="000C619D">
      <w:pPr>
        <w:pStyle w:val="Caption"/>
        <w:spacing w:line="480" w:lineRule="auto"/>
        <w:jc w:val="center"/>
      </w:pPr>
      <w:r>
        <w:t xml:space="preserve">Figure </w:t>
      </w:r>
      <w:fldSimple w:instr=" SEQ Figure \* ARABIC ">
        <w:r>
          <w:rPr>
            <w:noProof/>
          </w:rPr>
          <w:t>5</w:t>
        </w:r>
      </w:fldSimple>
      <w:r>
        <w:t xml:space="preserve"> </w:t>
      </w:r>
      <w:r w:rsidRPr="002248F6">
        <w:t>Free Cash Flow (£m)</w:t>
      </w:r>
    </w:p>
    <w:p w14:paraId="37E6682D" w14:textId="77777777" w:rsidR="000C619D" w:rsidRDefault="000C619D" w:rsidP="000C619D">
      <w:pPr>
        <w:keepNext/>
        <w:jc w:val="center"/>
      </w:pPr>
      <w:r>
        <w:rPr>
          <w:noProof/>
        </w:rPr>
        <w:lastRenderedPageBreak/>
        <w:drawing>
          <wp:inline distT="0" distB="0" distL="0" distR="0" wp14:anchorId="3C2E9236" wp14:editId="61ABF77C">
            <wp:extent cx="4381500" cy="2095500"/>
            <wp:effectExtent l="0" t="0" r="0" b="0"/>
            <wp:docPr id="1056019054" name="Chart 1">
              <a:extLst xmlns:a="http://schemas.openxmlformats.org/drawingml/2006/main">
                <a:ext uri="{FF2B5EF4-FFF2-40B4-BE49-F238E27FC236}">
                  <a16:creationId xmlns:a16="http://schemas.microsoft.com/office/drawing/2014/main" id="{00000000-0008-0000-04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EF158B3" w14:textId="49283B8B" w:rsidR="000C619D" w:rsidRPr="000C619D" w:rsidRDefault="000C619D" w:rsidP="000C619D">
      <w:pPr>
        <w:pStyle w:val="Caption"/>
        <w:spacing w:line="480" w:lineRule="auto"/>
        <w:jc w:val="center"/>
      </w:pPr>
      <w:r>
        <w:t xml:space="preserve">Figure </w:t>
      </w:r>
      <w:fldSimple w:instr=" SEQ Figure \* ARABIC ">
        <w:r>
          <w:rPr>
            <w:noProof/>
          </w:rPr>
          <w:t>6</w:t>
        </w:r>
      </w:fldSimple>
      <w:r>
        <w:t xml:space="preserve"> </w:t>
      </w:r>
      <w:r w:rsidRPr="00A8147B">
        <w:t>Free Cash Flow Margin</w:t>
      </w:r>
    </w:p>
    <w:p w14:paraId="5911CD6A" w14:textId="278119AA" w:rsidR="000E1300" w:rsidRDefault="000E1300" w:rsidP="00112E6C"/>
    <w:p w14:paraId="4E08788B" w14:textId="1EC26441" w:rsidR="000E1300" w:rsidRDefault="000E1300" w:rsidP="00112E6C">
      <w:pPr>
        <w:jc w:val="center"/>
      </w:pPr>
    </w:p>
    <w:sectPr w:rsidR="000E1300" w:rsidSect="0003461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6A56D" w14:textId="77777777" w:rsidR="00F76727" w:rsidRDefault="00F76727" w:rsidP="00112E6C">
      <w:pPr>
        <w:spacing w:line="240" w:lineRule="auto"/>
      </w:pPr>
      <w:r>
        <w:separator/>
      </w:r>
    </w:p>
  </w:endnote>
  <w:endnote w:type="continuationSeparator" w:id="0">
    <w:p w14:paraId="74FADC2B" w14:textId="77777777" w:rsidR="00F76727" w:rsidRDefault="00F76727" w:rsidP="00112E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CC60D" w14:textId="77777777" w:rsidR="00F76727" w:rsidRDefault="00F76727" w:rsidP="00112E6C">
      <w:pPr>
        <w:spacing w:line="240" w:lineRule="auto"/>
      </w:pPr>
      <w:r>
        <w:separator/>
      </w:r>
    </w:p>
  </w:footnote>
  <w:footnote w:type="continuationSeparator" w:id="0">
    <w:p w14:paraId="7D8F0560" w14:textId="77777777" w:rsidR="00F76727" w:rsidRDefault="00F76727" w:rsidP="00112E6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FC23A86"/>
    <w:multiLevelType w:val="hybridMultilevel"/>
    <w:tmpl w:val="DCD6A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BC13A1"/>
    <w:multiLevelType w:val="hybridMultilevel"/>
    <w:tmpl w:val="826279F0"/>
    <w:lvl w:ilvl="0" w:tplc="FF54E0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0F4DB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2132354958">
    <w:abstractNumId w:val="8"/>
  </w:num>
  <w:num w:numId="2" w16cid:durableId="1687439595">
    <w:abstractNumId w:val="6"/>
  </w:num>
  <w:num w:numId="3" w16cid:durableId="1622344452">
    <w:abstractNumId w:val="5"/>
  </w:num>
  <w:num w:numId="4" w16cid:durableId="665590912">
    <w:abstractNumId w:val="4"/>
  </w:num>
  <w:num w:numId="5" w16cid:durableId="201093166">
    <w:abstractNumId w:val="7"/>
  </w:num>
  <w:num w:numId="6" w16cid:durableId="1220902580">
    <w:abstractNumId w:val="3"/>
  </w:num>
  <w:num w:numId="7" w16cid:durableId="1960409613">
    <w:abstractNumId w:val="2"/>
  </w:num>
  <w:num w:numId="8" w16cid:durableId="326595600">
    <w:abstractNumId w:val="1"/>
  </w:num>
  <w:num w:numId="9" w16cid:durableId="1896577253">
    <w:abstractNumId w:val="0"/>
  </w:num>
  <w:num w:numId="10" w16cid:durableId="243800969">
    <w:abstractNumId w:val="9"/>
  </w:num>
  <w:num w:numId="11" w16cid:durableId="1179540592">
    <w:abstractNumId w:val="10"/>
  </w:num>
  <w:num w:numId="12" w16cid:durableId="11742957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619D"/>
    <w:rsid w:val="000E1300"/>
    <w:rsid w:val="00112E6C"/>
    <w:rsid w:val="0015074B"/>
    <w:rsid w:val="001B1DC7"/>
    <w:rsid w:val="0027171A"/>
    <w:rsid w:val="0029639D"/>
    <w:rsid w:val="00326F90"/>
    <w:rsid w:val="00530008"/>
    <w:rsid w:val="0058619F"/>
    <w:rsid w:val="00630837"/>
    <w:rsid w:val="0086656D"/>
    <w:rsid w:val="009F32EF"/>
    <w:rsid w:val="00A12E7E"/>
    <w:rsid w:val="00A44836"/>
    <w:rsid w:val="00AA1D8D"/>
    <w:rsid w:val="00B32ED6"/>
    <w:rsid w:val="00B47730"/>
    <w:rsid w:val="00B61749"/>
    <w:rsid w:val="00BC020C"/>
    <w:rsid w:val="00BE0B68"/>
    <w:rsid w:val="00C81AE7"/>
    <w:rsid w:val="00CB0664"/>
    <w:rsid w:val="00F7672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D4482"/>
  <w14:defaultImageDpi w14:val="300"/>
  <w15:docId w15:val="{47994396-C40D-AC46-917E-52BA62A8C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48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112E6C"/>
    <w:pPr>
      <w:keepNext/>
      <w:keepLines/>
      <w:numPr>
        <w:numId w:val="12"/>
      </w:numPr>
      <w:spacing w:before="240" w:after="120"/>
      <w:outlineLvl w:val="0"/>
    </w:pPr>
    <w:rPr>
      <w:rFonts w:eastAsiaTheme="majorEastAsia" w:cs="Times New Roman"/>
      <w:b/>
      <w:bCs/>
      <w:sz w:val="28"/>
      <w:szCs w:val="28"/>
    </w:rPr>
  </w:style>
  <w:style w:type="paragraph" w:styleId="Heading2">
    <w:name w:val="heading 2"/>
    <w:basedOn w:val="Normal"/>
    <w:next w:val="Normal"/>
    <w:link w:val="Heading2Char"/>
    <w:uiPriority w:val="9"/>
    <w:unhideWhenUsed/>
    <w:qFormat/>
    <w:rsid w:val="00112E6C"/>
    <w:pPr>
      <w:keepNext/>
      <w:keepLines/>
      <w:numPr>
        <w:ilvl w:val="1"/>
        <w:numId w:val="12"/>
      </w:numPr>
      <w:spacing w:before="240" w:after="120"/>
      <w:outlineLvl w:val="1"/>
    </w:pPr>
    <w:rPr>
      <w:rFonts w:asciiTheme="majorHAnsi" w:eastAsiaTheme="majorEastAsia" w:hAnsiTheme="majorHAnsi" w:cstheme="majorBidi"/>
      <w:b/>
      <w:bCs/>
      <w:szCs w:val="24"/>
    </w:rPr>
  </w:style>
  <w:style w:type="paragraph" w:styleId="Heading3">
    <w:name w:val="heading 3"/>
    <w:basedOn w:val="Normal"/>
    <w:next w:val="Normal"/>
    <w:link w:val="Heading3Char"/>
    <w:uiPriority w:val="9"/>
    <w:unhideWhenUsed/>
    <w:qFormat/>
    <w:rsid w:val="00FC693F"/>
    <w:pPr>
      <w:keepNext/>
      <w:keepLines/>
      <w:numPr>
        <w:ilvl w:val="2"/>
        <w:numId w:val="12"/>
      </w:numPr>
      <w:spacing w:before="240" w:after="12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numPr>
        <w:ilvl w:val="3"/>
        <w:numId w:val="1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numPr>
        <w:ilvl w:val="4"/>
        <w:numId w:val="1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numPr>
        <w:ilvl w:val="5"/>
        <w:numId w:val="1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numPr>
        <w:ilvl w:val="6"/>
        <w:numId w:val="1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numPr>
        <w:ilvl w:val="7"/>
        <w:numId w:val="12"/>
      </w:numPr>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numPr>
        <w:ilvl w:val="8"/>
        <w:numId w:val="1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112E6C"/>
    <w:rPr>
      <w:rFonts w:ascii="Times New Roman" w:eastAsiaTheme="majorEastAsia" w:hAnsi="Times New Roman" w:cs="Times New Roman"/>
      <w:b/>
      <w:bCs/>
      <w:sz w:val="28"/>
      <w:szCs w:val="28"/>
    </w:rPr>
  </w:style>
  <w:style w:type="character" w:customStyle="1" w:styleId="Heading2Char">
    <w:name w:val="Heading 2 Char"/>
    <w:basedOn w:val="DefaultParagraphFont"/>
    <w:link w:val="Heading2"/>
    <w:uiPriority w:val="9"/>
    <w:rsid w:val="00112E6C"/>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abelStyle">
    <w:name w:val="LabelStyle"/>
    <w:pPr>
      <w:spacing w:line="480" w:lineRule="auto"/>
    </w:pPr>
    <w:rPr>
      <w:rFonts w:ascii="Times New Roman" w:eastAsia="Times New Roman" w:hAnsi="Times New Roman"/>
      <w:b/>
      <w:sz w:val="24"/>
    </w:rPr>
  </w:style>
  <w:style w:type="table" w:customStyle="1" w:styleId="TableGrid1">
    <w:name w:val="Table Grid1"/>
    <w:basedOn w:val="TableNormal"/>
    <w:next w:val="TableGrid"/>
    <w:uiPriority w:val="39"/>
    <w:rsid w:val="00A44836"/>
    <w:pPr>
      <w:spacing w:after="0" w:line="240" w:lineRule="auto"/>
    </w:pPr>
    <w:rPr>
      <w:rFonts w:eastAsia="Calibri"/>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4836"/>
    <w:rPr>
      <w:color w:val="0000FF" w:themeColor="hyperlink"/>
      <w:u w:val="single"/>
    </w:rPr>
  </w:style>
  <w:style w:type="character" w:styleId="UnresolvedMention">
    <w:name w:val="Unresolved Mention"/>
    <w:basedOn w:val="DefaultParagraphFont"/>
    <w:uiPriority w:val="99"/>
    <w:semiHidden/>
    <w:unhideWhenUsed/>
    <w:rsid w:val="00A44836"/>
    <w:rPr>
      <w:color w:val="605E5C"/>
      <w:shd w:val="clear" w:color="auto" w:fill="E1DFDD"/>
    </w:rPr>
  </w:style>
  <w:style w:type="paragraph" w:styleId="TOC1">
    <w:name w:val="toc 1"/>
    <w:basedOn w:val="Normal"/>
    <w:next w:val="Normal"/>
    <w:autoRedefine/>
    <w:uiPriority w:val="39"/>
    <w:unhideWhenUsed/>
    <w:rsid w:val="00112E6C"/>
    <w:pPr>
      <w:spacing w:after="100"/>
    </w:pPr>
  </w:style>
  <w:style w:type="paragraph" w:styleId="TOC2">
    <w:name w:val="toc 2"/>
    <w:basedOn w:val="Normal"/>
    <w:next w:val="Normal"/>
    <w:autoRedefine/>
    <w:uiPriority w:val="39"/>
    <w:unhideWhenUsed/>
    <w:rsid w:val="00112E6C"/>
    <w:pPr>
      <w:spacing w:after="100"/>
      <w:ind w:left="240"/>
    </w:pPr>
  </w:style>
  <w:style w:type="character" w:styleId="FollowedHyperlink">
    <w:name w:val="FollowedHyperlink"/>
    <w:basedOn w:val="DefaultParagraphFont"/>
    <w:uiPriority w:val="99"/>
    <w:semiHidden/>
    <w:unhideWhenUsed/>
    <w:rsid w:val="00112E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nilever.com/files/8b5df5f6-cb90-40fd-9691-38d06905d81d/unilever-climate-transition-action-plan-updated-2024.pdf" TargetMode="External"/><Relationship Id="rId18" Type="http://schemas.openxmlformats.org/officeDocument/2006/relationships/hyperlink" Target="https://www.unilever.com/files/unilever-annual-report-and-accounts-2025.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hyperlink" Target="https://www.ifrs.org/sustainability/knowledge-hub/introduction-to-issb-and-ifrs-sustainability-disclosure-standards/" TargetMode="External"/><Relationship Id="rId17" Type="http://schemas.openxmlformats.org/officeDocument/2006/relationships/hyperlink" Target="https://www.unilever.com/sustainability/livelihoods/" TargetMode="External"/><Relationship Id="rId25"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hyperlink" Target="https://www.unilever.com/sustainability/plastics/" TargetMode="Externa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905/jpm.2019.45.5.069" TargetMode="External"/><Relationship Id="rId24"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hyperlink" Target="https://www.unilever.com/sustainability/nature/deforestation-free-supply-chain/our-deforestation-free-progress/" TargetMode="External"/><Relationship Id="rId23" Type="http://schemas.openxmlformats.org/officeDocument/2006/relationships/chart" Target="charts/chart4.xml"/><Relationship Id="rId10" Type="http://schemas.openxmlformats.org/officeDocument/2006/relationships/hyperlink" Target="https://doi.org/10.1080/20430795.2015.1118917" TargetMode="External"/><Relationship Id="rId19" Type="http://schemas.openxmlformats.org/officeDocument/2006/relationships/hyperlink" Target="https://www.unilever.com/files/unilever-sustainability-statement.pdf" TargetMode="External"/><Relationship Id="rId4" Type="http://schemas.openxmlformats.org/officeDocument/2006/relationships/settings" Target="settings.xml"/><Relationship Id="rId9" Type="http://schemas.openxmlformats.org/officeDocument/2006/relationships/hyperlink" Target="https://www.ravensbourne.ac.uk/asset-bucket/prod/2023-08/Ravensbourne%20University%20General%20Academic%20Regulations%202023-24.pdf" TargetMode="External"/><Relationship Id="rId14" Type="http://schemas.openxmlformats.org/officeDocument/2006/relationships/hyperlink" Target="https://www.unilever.com/news/news-search/2025/unilever-sees-early-signs-of-progress-on-sustainability-goals/" TargetMode="External"/><Relationship Id="rId22" Type="http://schemas.openxmlformats.org/officeDocument/2006/relationships/chart" Target="charts/chart3.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ipesh\Desktop\By%20Name%20New\Ganesh%20Pangeni\Business%20Finance\chatgpt\Business%20Financ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ipesh\Desktop\By%20Name%20New\Ganesh%20Pangeni\Business%20Finance\chatgpt\Business%20Financ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ipesh\Desktop\By%20Name%20New\Ganesh%20Pangeni\Business%20Finance\chatgpt\Business%20Financ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ipesh\Desktop\By%20Name%20New\Ganesh%20Pangeni\Business%20Finance\chatgpt\Business%20Financ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ipesh\Desktop\By%20Name%20New\Ganesh%20Pangeni\Business%20Finance\chatgpt\Business%20Financ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ipesh\Desktop\By%20Name%20New\Ganesh%20Pangeni\Business%20Finance\chatgpt\Business%20Finan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US"/>
              <a:t>Revenue, Operating Profit and Net Profit (£m)</a:t>
            </a:r>
          </a:p>
        </c:rich>
      </c:tx>
      <c:overlay val="0"/>
    </c:title>
    <c:autoTitleDeleted val="0"/>
    <c:plotArea>
      <c:layout/>
      <c:barChart>
        <c:barDir val="col"/>
        <c:grouping val="clustered"/>
        <c:varyColors val="0"/>
        <c:ser>
          <c:idx val="0"/>
          <c:order val="0"/>
          <c:tx>
            <c:v>Revenue</c:v>
          </c:tx>
          <c:invertIfNegative val="1"/>
          <c:cat>
            <c:numLit>
              <c:formatCode>General</c:formatCode>
              <c:ptCount val="2"/>
              <c:pt idx="0">
                <c:v>2024</c:v>
              </c:pt>
              <c:pt idx="1">
                <c:v>2025</c:v>
              </c:pt>
            </c:numLit>
          </c:cat>
          <c:val>
            <c:numLit>
              <c:formatCode>#,##0</c:formatCode>
              <c:ptCount val="2"/>
              <c:pt idx="0">
                <c:v>58420</c:v>
              </c:pt>
              <c:pt idx="1">
                <c:v>55980</c:v>
              </c:pt>
            </c:numLit>
          </c:val>
          <c:extLst>
            <c:ext xmlns:c16="http://schemas.microsoft.com/office/drawing/2014/chart" uri="{C3380CC4-5D6E-409C-BE32-E72D297353CC}">
              <c16:uniqueId val="{00000000-F239-4AA1-BCDF-882A596A02BF}"/>
            </c:ext>
          </c:extLst>
        </c:ser>
        <c:ser>
          <c:idx val="1"/>
          <c:order val="1"/>
          <c:tx>
            <c:v>Operating Profit</c:v>
          </c:tx>
          <c:invertIfNegative val="1"/>
          <c:cat>
            <c:numLit>
              <c:formatCode>General</c:formatCode>
              <c:ptCount val="2"/>
              <c:pt idx="0">
                <c:v>2024</c:v>
              </c:pt>
              <c:pt idx="1">
                <c:v>2025</c:v>
              </c:pt>
            </c:numLit>
          </c:cat>
          <c:val>
            <c:numLit>
              <c:formatCode>#,##0</c:formatCode>
              <c:ptCount val="2"/>
              <c:pt idx="0">
                <c:v>8950</c:v>
              </c:pt>
              <c:pt idx="1">
                <c:v>9320</c:v>
              </c:pt>
            </c:numLit>
          </c:val>
          <c:extLst>
            <c:ext xmlns:c16="http://schemas.microsoft.com/office/drawing/2014/chart" uri="{C3380CC4-5D6E-409C-BE32-E72D297353CC}">
              <c16:uniqueId val="{00000001-F239-4AA1-BCDF-882A596A02BF}"/>
            </c:ext>
          </c:extLst>
        </c:ser>
        <c:ser>
          <c:idx val="2"/>
          <c:order val="2"/>
          <c:tx>
            <c:v>Net Profit</c:v>
          </c:tx>
          <c:invertIfNegative val="1"/>
          <c:cat>
            <c:numLit>
              <c:formatCode>General</c:formatCode>
              <c:ptCount val="2"/>
              <c:pt idx="0">
                <c:v>2024</c:v>
              </c:pt>
              <c:pt idx="1">
                <c:v>2025</c:v>
              </c:pt>
            </c:numLit>
          </c:cat>
          <c:val>
            <c:numLit>
              <c:formatCode>#,##0</c:formatCode>
              <c:ptCount val="2"/>
              <c:pt idx="0">
                <c:v>6110</c:v>
              </c:pt>
              <c:pt idx="1">
                <c:v>6780</c:v>
              </c:pt>
            </c:numLit>
          </c:val>
          <c:extLst>
            <c:ext xmlns:c16="http://schemas.microsoft.com/office/drawing/2014/chart" uri="{C3380CC4-5D6E-409C-BE32-E72D297353CC}">
              <c16:uniqueId val="{00000002-F239-4AA1-BCDF-882A596A02BF}"/>
            </c:ext>
          </c:extLst>
        </c:ser>
        <c:dLbls>
          <c:showLegendKey val="0"/>
          <c:showVal val="0"/>
          <c:showCatName val="0"/>
          <c:showSerName val="0"/>
          <c:showPercent val="0"/>
          <c:showBubbleSize val="0"/>
        </c:dLbls>
        <c:gapWidth val="150"/>
        <c:axId val="48650112"/>
        <c:axId val="48672768"/>
      </c:barChart>
      <c:catAx>
        <c:axId val="48650112"/>
        <c:scaling>
          <c:orientation val="minMax"/>
        </c:scaling>
        <c:delete val="0"/>
        <c:axPos val="b"/>
        <c:majorGridlines>
          <c:spPr>
            <a:ln w="9525">
              <a:solidFill>
                <a:srgbClr val="CCCCCC"/>
              </a:solidFill>
              <a:prstDash val="dash"/>
            </a:ln>
          </c:spPr>
        </c:majorGridlines>
        <c:title>
          <c:tx>
            <c:rich>
              <a:bodyPr/>
              <a:lstStyle/>
              <a:p>
                <a:r>
                  <a:rPr lang="en-US" sz="825" b="1"/>
                  <a:t>Year</a:t>
                </a:r>
              </a:p>
            </c:rich>
          </c:tx>
          <c:overlay val="0"/>
        </c:title>
        <c:numFmt formatCode="General" sourceLinked="1"/>
        <c:majorTickMark val="none"/>
        <c:minorTickMark val="none"/>
        <c:tickLblPos val="nextTo"/>
        <c:crossAx val="48672768"/>
        <c:crosses val="autoZero"/>
        <c:auto val="1"/>
        <c:lblAlgn val="ctr"/>
        <c:lblOffset val="100"/>
        <c:noMultiLvlLbl val="0"/>
      </c:catAx>
      <c:valAx>
        <c:axId val="48672768"/>
        <c:scaling>
          <c:orientation val="minMax"/>
        </c:scaling>
        <c:delete val="0"/>
        <c:axPos val="l"/>
        <c:majorGridlines>
          <c:spPr>
            <a:ln w="9525">
              <a:solidFill>
                <a:srgbClr val="E5E7EB"/>
              </a:solidFill>
              <a:prstDash val="solid"/>
            </a:ln>
          </c:spPr>
        </c:majorGridlines>
        <c:title>
          <c:tx>
            <c:rich>
              <a:bodyPr/>
              <a:lstStyle/>
              <a:p>
                <a:r>
                  <a:rPr lang="en-US" sz="825" b="1"/>
                  <a:t>£m</a:t>
                </a:r>
              </a:p>
            </c:rich>
          </c:tx>
          <c:overlay val="0"/>
        </c:title>
        <c:numFmt formatCode="#,##0" sourceLinked="1"/>
        <c:majorTickMark val="none"/>
        <c:minorTickMark val="none"/>
        <c:tickLblPos val="nextTo"/>
        <c:crossAx val="48650112"/>
        <c:crosses val="autoZero"/>
        <c:crossBetween val="between"/>
      </c:valAx>
    </c:plotArea>
    <c:legend>
      <c:legendPos val="b"/>
      <c:overlay val="0"/>
      <c:txPr>
        <a:bodyPr anchorCtr="1"/>
        <a:lstStyle/>
        <a:p>
          <a:pPr>
            <a:defRPr sz="750"/>
          </a:pPr>
          <a:endParaRPr lang="en-US"/>
        </a:p>
      </c:txPr>
    </c:legend>
    <c:plotVisOnly val="1"/>
    <c:dispBlanksAs val="zero"/>
    <c:showDLblsOverMax val="1"/>
  </c:chart>
  <c:spPr>
    <a:ln w="9525">
      <a:solidFill>
        <a:srgbClr val="D9D9D9"/>
      </a:solidFill>
      <a:prstDash val="soli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US"/>
              <a:t>Profitability Ratios</a:t>
            </a:r>
          </a:p>
        </c:rich>
      </c:tx>
      <c:overlay val="0"/>
    </c:title>
    <c:autoTitleDeleted val="0"/>
    <c:plotArea>
      <c:layout/>
      <c:lineChart>
        <c:grouping val="standard"/>
        <c:varyColors val="1"/>
        <c:ser>
          <c:idx val="0"/>
          <c:order val="0"/>
          <c:tx>
            <c:v>Operating Margin</c:v>
          </c:tx>
          <c:cat>
            <c:numLit>
              <c:formatCode>General</c:formatCode>
              <c:ptCount val="2"/>
              <c:pt idx="0">
                <c:v>2024</c:v>
              </c:pt>
              <c:pt idx="1">
                <c:v>2025</c:v>
              </c:pt>
            </c:numLit>
          </c:cat>
          <c:val>
            <c:numLit>
              <c:formatCode>0.00%</c:formatCode>
              <c:ptCount val="2"/>
              <c:pt idx="0">
                <c:v>0.15320095859999999</c:v>
              </c:pt>
              <c:pt idx="1">
                <c:v>0.166487</c:v>
              </c:pt>
            </c:numLit>
          </c:val>
          <c:smooth val="0"/>
          <c:extLst>
            <c:ext xmlns:c16="http://schemas.microsoft.com/office/drawing/2014/chart" uri="{C3380CC4-5D6E-409C-BE32-E72D297353CC}">
              <c16:uniqueId val="{00000000-6008-48BB-A78E-27E91DEDA138}"/>
            </c:ext>
          </c:extLst>
        </c:ser>
        <c:ser>
          <c:idx val="1"/>
          <c:order val="1"/>
          <c:tx>
            <c:v>Net Margin</c:v>
          </c:tx>
          <c:cat>
            <c:numLit>
              <c:formatCode>General</c:formatCode>
              <c:ptCount val="2"/>
              <c:pt idx="0">
                <c:v>2024</c:v>
              </c:pt>
              <c:pt idx="1">
                <c:v>2025</c:v>
              </c:pt>
            </c:numLit>
          </c:cat>
          <c:val>
            <c:numLit>
              <c:formatCode>0.00%</c:formatCode>
              <c:ptCount val="2"/>
              <c:pt idx="0">
                <c:v>0.104587469</c:v>
              </c:pt>
              <c:pt idx="1">
                <c:v>0.121114684</c:v>
              </c:pt>
            </c:numLit>
          </c:val>
          <c:smooth val="0"/>
          <c:extLst>
            <c:ext xmlns:c16="http://schemas.microsoft.com/office/drawing/2014/chart" uri="{C3380CC4-5D6E-409C-BE32-E72D297353CC}">
              <c16:uniqueId val="{00000001-6008-48BB-A78E-27E91DEDA138}"/>
            </c:ext>
          </c:extLst>
        </c:ser>
        <c:ser>
          <c:idx val="2"/>
          <c:order val="2"/>
          <c:tx>
            <c:v>ROA</c:v>
          </c:tx>
          <c:cat>
            <c:numLit>
              <c:formatCode>General</c:formatCode>
              <c:ptCount val="2"/>
              <c:pt idx="0">
                <c:v>2024</c:v>
              </c:pt>
              <c:pt idx="1">
                <c:v>2025</c:v>
              </c:pt>
            </c:numLit>
          </c:cat>
          <c:val>
            <c:numLit>
              <c:formatCode>0.00%</c:formatCode>
              <c:ptCount val="2"/>
              <c:pt idx="0">
                <c:v>7.4877450999999998E-2</c:v>
              </c:pt>
              <c:pt idx="1">
                <c:v>8.7540349000000003E-2</c:v>
              </c:pt>
            </c:numLit>
          </c:val>
          <c:smooth val="0"/>
          <c:extLst>
            <c:ext xmlns:c16="http://schemas.microsoft.com/office/drawing/2014/chart" uri="{C3380CC4-5D6E-409C-BE32-E72D297353CC}">
              <c16:uniqueId val="{00000002-6008-48BB-A78E-27E91DEDA138}"/>
            </c:ext>
          </c:extLst>
        </c:ser>
        <c:ser>
          <c:idx val="3"/>
          <c:order val="3"/>
          <c:tx>
            <c:v>ROE</c:v>
          </c:tx>
          <c:cat>
            <c:numLit>
              <c:formatCode>General</c:formatCode>
              <c:ptCount val="2"/>
              <c:pt idx="0">
                <c:v>2024</c:v>
              </c:pt>
              <c:pt idx="1">
                <c:v>2025</c:v>
              </c:pt>
            </c:numLit>
          </c:cat>
          <c:val>
            <c:numLit>
              <c:formatCode>0.00%</c:formatCode>
              <c:ptCount val="2"/>
              <c:pt idx="0">
                <c:v>0.272767857</c:v>
              </c:pt>
              <c:pt idx="1">
                <c:v>0.32209026099999999</c:v>
              </c:pt>
            </c:numLit>
          </c:val>
          <c:smooth val="0"/>
          <c:extLst>
            <c:ext xmlns:c16="http://schemas.microsoft.com/office/drawing/2014/chart" uri="{C3380CC4-5D6E-409C-BE32-E72D297353CC}">
              <c16:uniqueId val="{00000003-6008-48BB-A78E-27E91DEDA138}"/>
            </c:ext>
          </c:extLst>
        </c:ser>
        <c:dLbls>
          <c:showLegendKey val="0"/>
          <c:showVal val="0"/>
          <c:showCatName val="0"/>
          <c:showSerName val="0"/>
          <c:showPercent val="0"/>
          <c:showBubbleSize val="0"/>
        </c:dLbls>
        <c:marker val="1"/>
        <c:smooth val="0"/>
        <c:axId val="48650112"/>
        <c:axId val="48672768"/>
      </c:lineChart>
      <c:catAx>
        <c:axId val="48650112"/>
        <c:scaling>
          <c:orientation val="minMax"/>
        </c:scaling>
        <c:delete val="0"/>
        <c:axPos val="b"/>
        <c:majorGridlines>
          <c:spPr>
            <a:ln w="9525">
              <a:solidFill>
                <a:srgbClr val="CCCCCC"/>
              </a:solidFill>
              <a:prstDash val="dash"/>
            </a:ln>
          </c:spPr>
        </c:majorGridlines>
        <c:title>
          <c:tx>
            <c:rich>
              <a:bodyPr/>
              <a:lstStyle/>
              <a:p>
                <a:r>
                  <a:rPr lang="en-US" sz="825" b="1"/>
                  <a:t>Year</a:t>
                </a:r>
              </a:p>
            </c:rich>
          </c:tx>
          <c:overlay val="0"/>
        </c:title>
        <c:numFmt formatCode="General" sourceLinked="1"/>
        <c:majorTickMark val="none"/>
        <c:minorTickMark val="none"/>
        <c:tickLblPos val="nextTo"/>
        <c:crossAx val="48672768"/>
        <c:crosses val="autoZero"/>
        <c:auto val="1"/>
        <c:lblAlgn val="ctr"/>
        <c:lblOffset val="100"/>
        <c:noMultiLvlLbl val="0"/>
      </c:catAx>
      <c:valAx>
        <c:axId val="48672768"/>
        <c:scaling>
          <c:orientation val="minMax"/>
        </c:scaling>
        <c:delete val="0"/>
        <c:axPos val="l"/>
        <c:majorGridlines>
          <c:spPr>
            <a:ln w="9525">
              <a:solidFill>
                <a:srgbClr val="E5E7EB"/>
              </a:solidFill>
              <a:prstDash val="solid"/>
            </a:ln>
          </c:spPr>
        </c:majorGridlines>
        <c:title>
          <c:tx>
            <c:rich>
              <a:bodyPr/>
              <a:lstStyle/>
              <a:p>
                <a:r>
                  <a:rPr lang="en-US" sz="825" b="1"/>
                  <a:t>Ratio (%)</a:t>
                </a:r>
              </a:p>
            </c:rich>
          </c:tx>
          <c:overlay val="0"/>
        </c:title>
        <c:numFmt formatCode="0.00%" sourceLinked="1"/>
        <c:majorTickMark val="none"/>
        <c:minorTickMark val="none"/>
        <c:tickLblPos val="nextTo"/>
        <c:crossAx val="48650112"/>
        <c:crosses val="autoZero"/>
        <c:crossBetween val="between"/>
      </c:valAx>
    </c:plotArea>
    <c:legend>
      <c:legendPos val="b"/>
      <c:overlay val="0"/>
      <c:txPr>
        <a:bodyPr anchorCtr="1"/>
        <a:lstStyle/>
        <a:p>
          <a:pPr>
            <a:defRPr sz="750"/>
          </a:pPr>
          <a:endParaRPr lang="en-US"/>
        </a:p>
      </c:txPr>
    </c:legend>
    <c:plotVisOnly val="1"/>
    <c:dispBlanksAs val="zero"/>
    <c:showDLblsOverMax val="1"/>
  </c:chart>
  <c:spPr>
    <a:ln w="9525">
      <a:solidFill>
        <a:srgbClr val="D9D9D9"/>
      </a:solidFill>
      <a:prstDash val="solid"/>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US"/>
              <a:t>Liquidity Ratios</a:t>
            </a:r>
          </a:p>
        </c:rich>
      </c:tx>
      <c:overlay val="0"/>
    </c:title>
    <c:autoTitleDeleted val="0"/>
    <c:plotArea>
      <c:layout/>
      <c:barChart>
        <c:barDir val="col"/>
        <c:grouping val="clustered"/>
        <c:varyColors val="0"/>
        <c:ser>
          <c:idx val="0"/>
          <c:order val="0"/>
          <c:tx>
            <c:v>2024</c:v>
          </c:tx>
          <c:invertIfNegative val="1"/>
          <c:cat>
            <c:strLit>
              <c:ptCount val="2"/>
              <c:pt idx="0">
                <c:v>Current Ratio</c:v>
              </c:pt>
              <c:pt idx="1">
                <c:v>Quick Ratio</c:v>
              </c:pt>
            </c:strLit>
          </c:cat>
          <c:val>
            <c:numLit>
              <c:formatCode>General</c:formatCode>
              <c:ptCount val="2"/>
              <c:pt idx="0">
                <c:v>0.81609195400000001</c:v>
              </c:pt>
              <c:pt idx="1">
                <c:v>0.55363984700000002</c:v>
              </c:pt>
            </c:numLit>
          </c:val>
          <c:extLst>
            <c:ext xmlns:c16="http://schemas.microsoft.com/office/drawing/2014/chart" uri="{C3380CC4-5D6E-409C-BE32-E72D297353CC}">
              <c16:uniqueId val="{00000000-A7C4-4BB4-9CA0-44B2372BBB34}"/>
            </c:ext>
          </c:extLst>
        </c:ser>
        <c:ser>
          <c:idx val="1"/>
          <c:order val="1"/>
          <c:tx>
            <c:v>2025</c:v>
          </c:tx>
          <c:invertIfNegative val="1"/>
          <c:cat>
            <c:strLit>
              <c:ptCount val="2"/>
              <c:pt idx="0">
                <c:v>Current Ratio</c:v>
              </c:pt>
              <c:pt idx="1">
                <c:v>Quick Ratio</c:v>
              </c:pt>
            </c:strLit>
          </c:cat>
          <c:val>
            <c:numLit>
              <c:formatCode>General</c:formatCode>
              <c:ptCount val="2"/>
              <c:pt idx="0">
                <c:v>0.79637096799999996</c:v>
              </c:pt>
              <c:pt idx="1">
                <c:v>0.53749999999999998</c:v>
              </c:pt>
            </c:numLit>
          </c:val>
          <c:extLst>
            <c:ext xmlns:c16="http://schemas.microsoft.com/office/drawing/2014/chart" uri="{C3380CC4-5D6E-409C-BE32-E72D297353CC}">
              <c16:uniqueId val="{00000001-A7C4-4BB4-9CA0-44B2372BBB34}"/>
            </c:ext>
          </c:extLst>
        </c:ser>
        <c:dLbls>
          <c:showLegendKey val="0"/>
          <c:showVal val="0"/>
          <c:showCatName val="0"/>
          <c:showSerName val="0"/>
          <c:showPercent val="0"/>
          <c:showBubbleSize val="0"/>
        </c:dLbls>
        <c:gapWidth val="150"/>
        <c:axId val="48650112"/>
        <c:axId val="48672768"/>
      </c:barChart>
      <c:catAx>
        <c:axId val="48650112"/>
        <c:scaling>
          <c:orientation val="minMax"/>
        </c:scaling>
        <c:delete val="0"/>
        <c:axPos val="b"/>
        <c:majorGridlines>
          <c:spPr>
            <a:ln w="9525">
              <a:solidFill>
                <a:srgbClr val="E5E7EB"/>
              </a:solidFill>
              <a:prstDash val="solid"/>
            </a:ln>
          </c:spPr>
        </c:majorGridlines>
        <c:title>
          <c:tx>
            <c:rich>
              <a:bodyPr/>
              <a:lstStyle/>
              <a:p>
                <a:r>
                  <a:rPr lang="en-US" sz="825" b="1"/>
                  <a:t>Ratio</a:t>
                </a:r>
              </a:p>
            </c:rich>
          </c:tx>
          <c:overlay val="0"/>
        </c:title>
        <c:numFmt formatCode="General" sourceLinked="1"/>
        <c:majorTickMark val="none"/>
        <c:minorTickMark val="none"/>
        <c:tickLblPos val="nextTo"/>
        <c:crossAx val="48672768"/>
        <c:crosses val="autoZero"/>
        <c:auto val="1"/>
        <c:lblAlgn val="ctr"/>
        <c:lblOffset val="100"/>
        <c:noMultiLvlLbl val="0"/>
      </c:catAx>
      <c:valAx>
        <c:axId val="48672768"/>
        <c:scaling>
          <c:orientation val="minMax"/>
        </c:scaling>
        <c:delete val="0"/>
        <c:axPos val="l"/>
        <c:majorGridlines>
          <c:spPr>
            <a:ln w="9525">
              <a:solidFill>
                <a:srgbClr val="CCCCCC"/>
              </a:solidFill>
              <a:prstDash val="dash"/>
            </a:ln>
          </c:spPr>
        </c:majorGridlines>
        <c:title>
          <c:tx>
            <c:rich>
              <a:bodyPr/>
              <a:lstStyle/>
              <a:p>
                <a:r>
                  <a:rPr lang="en-US" sz="825" b="1"/>
                  <a:t>Metric</a:t>
                </a:r>
              </a:p>
            </c:rich>
          </c:tx>
          <c:overlay val="0"/>
        </c:title>
        <c:numFmt formatCode="General" sourceLinked="1"/>
        <c:majorTickMark val="none"/>
        <c:minorTickMark val="none"/>
        <c:tickLblPos val="nextTo"/>
        <c:crossAx val="48650112"/>
        <c:crosses val="autoZero"/>
        <c:crossBetween val="between"/>
      </c:valAx>
    </c:plotArea>
    <c:legend>
      <c:legendPos val="b"/>
      <c:overlay val="0"/>
      <c:txPr>
        <a:bodyPr anchorCtr="1"/>
        <a:lstStyle/>
        <a:p>
          <a:pPr>
            <a:defRPr sz="750"/>
          </a:pPr>
          <a:endParaRPr lang="en-US"/>
        </a:p>
      </c:txPr>
    </c:legend>
    <c:plotVisOnly val="1"/>
    <c:dispBlanksAs val="zero"/>
    <c:showDLblsOverMax val="1"/>
  </c:chart>
  <c:spPr>
    <a:ln w="9525">
      <a:solidFill>
        <a:srgbClr val="D9D9D9"/>
      </a:solidFill>
      <a:prstDash val="solid"/>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US"/>
              <a:t>Leverage Metrics</a:t>
            </a:r>
          </a:p>
        </c:rich>
      </c:tx>
      <c:overlay val="0"/>
    </c:title>
    <c:autoTitleDeleted val="0"/>
    <c:plotArea>
      <c:layout/>
      <c:barChart>
        <c:barDir val="col"/>
        <c:grouping val="clustered"/>
        <c:varyColors val="0"/>
        <c:ser>
          <c:idx val="0"/>
          <c:order val="0"/>
          <c:tx>
            <c:v>2024</c:v>
          </c:tx>
          <c:invertIfNegative val="1"/>
          <c:cat>
            <c:strLit>
              <c:ptCount val="3"/>
              <c:pt idx="0">
                <c:v>Debt-to-Equity</c:v>
              </c:pt>
              <c:pt idx="1">
                <c:v>Debt Ratio</c:v>
              </c:pt>
              <c:pt idx="2">
                <c:v>Debt-to-Capital</c:v>
              </c:pt>
            </c:strLit>
          </c:cat>
          <c:val>
            <c:numLit>
              <c:formatCode>General</c:formatCode>
              <c:ptCount val="3"/>
              <c:pt idx="0">
                <c:v>1.4196428569999999</c:v>
              </c:pt>
              <c:pt idx="1">
                <c:v>0.72549019599999998</c:v>
              </c:pt>
              <c:pt idx="2">
                <c:v>0.586715867</c:v>
              </c:pt>
            </c:numLit>
          </c:val>
          <c:extLst>
            <c:ext xmlns:c16="http://schemas.microsoft.com/office/drawing/2014/chart" uri="{C3380CC4-5D6E-409C-BE32-E72D297353CC}">
              <c16:uniqueId val="{00000000-AA44-47FC-91F7-22744DD90034}"/>
            </c:ext>
          </c:extLst>
        </c:ser>
        <c:ser>
          <c:idx val="1"/>
          <c:order val="1"/>
          <c:tx>
            <c:v>2025</c:v>
          </c:tx>
          <c:invertIfNegative val="1"/>
          <c:cat>
            <c:strLit>
              <c:ptCount val="3"/>
              <c:pt idx="0">
                <c:v>Debt-to-Equity</c:v>
              </c:pt>
              <c:pt idx="1">
                <c:v>Debt Ratio</c:v>
              </c:pt>
              <c:pt idx="2">
                <c:v>Debt-to-Capital</c:v>
              </c:pt>
            </c:strLit>
          </c:cat>
          <c:val>
            <c:numLit>
              <c:formatCode>General</c:formatCode>
              <c:ptCount val="3"/>
              <c:pt idx="0">
                <c:v>1.4061757720000001</c:v>
              </c:pt>
              <c:pt idx="1">
                <c:v>0.72821174899999996</c:v>
              </c:pt>
              <c:pt idx="2">
                <c:v>0.58440276400000002</c:v>
              </c:pt>
            </c:numLit>
          </c:val>
          <c:extLst>
            <c:ext xmlns:c16="http://schemas.microsoft.com/office/drawing/2014/chart" uri="{C3380CC4-5D6E-409C-BE32-E72D297353CC}">
              <c16:uniqueId val="{00000001-AA44-47FC-91F7-22744DD90034}"/>
            </c:ext>
          </c:extLst>
        </c:ser>
        <c:dLbls>
          <c:showLegendKey val="0"/>
          <c:showVal val="0"/>
          <c:showCatName val="0"/>
          <c:showSerName val="0"/>
          <c:showPercent val="0"/>
          <c:showBubbleSize val="0"/>
        </c:dLbls>
        <c:gapWidth val="150"/>
        <c:axId val="48650112"/>
        <c:axId val="48672768"/>
      </c:barChart>
      <c:catAx>
        <c:axId val="48650112"/>
        <c:scaling>
          <c:orientation val="minMax"/>
        </c:scaling>
        <c:delete val="0"/>
        <c:axPos val="b"/>
        <c:majorGridlines>
          <c:spPr>
            <a:ln w="9525">
              <a:solidFill>
                <a:srgbClr val="E5E7EB"/>
              </a:solidFill>
              <a:prstDash val="solid"/>
            </a:ln>
          </c:spPr>
        </c:majorGridlines>
        <c:title>
          <c:tx>
            <c:rich>
              <a:bodyPr/>
              <a:lstStyle/>
              <a:p>
                <a:r>
                  <a:rPr lang="en-US" sz="825" b="1"/>
                  <a:t>Metric value</a:t>
                </a:r>
              </a:p>
            </c:rich>
          </c:tx>
          <c:overlay val="0"/>
        </c:title>
        <c:numFmt formatCode="General" sourceLinked="1"/>
        <c:majorTickMark val="none"/>
        <c:minorTickMark val="none"/>
        <c:tickLblPos val="nextTo"/>
        <c:crossAx val="48672768"/>
        <c:crosses val="autoZero"/>
        <c:auto val="1"/>
        <c:lblAlgn val="ctr"/>
        <c:lblOffset val="100"/>
        <c:noMultiLvlLbl val="0"/>
      </c:catAx>
      <c:valAx>
        <c:axId val="48672768"/>
        <c:scaling>
          <c:orientation val="minMax"/>
        </c:scaling>
        <c:delete val="0"/>
        <c:axPos val="l"/>
        <c:majorGridlines>
          <c:spPr>
            <a:ln w="9525">
              <a:solidFill>
                <a:srgbClr val="CCCCCC"/>
              </a:solidFill>
              <a:prstDash val="dash"/>
            </a:ln>
          </c:spPr>
        </c:majorGridlines>
        <c:title>
          <c:tx>
            <c:rich>
              <a:bodyPr/>
              <a:lstStyle/>
              <a:p>
                <a:r>
                  <a:rPr lang="en-US" sz="825" b="1"/>
                  <a:t>Metric</a:t>
                </a:r>
              </a:p>
            </c:rich>
          </c:tx>
          <c:overlay val="0"/>
        </c:title>
        <c:numFmt formatCode="General" sourceLinked="1"/>
        <c:majorTickMark val="none"/>
        <c:minorTickMark val="none"/>
        <c:tickLblPos val="nextTo"/>
        <c:crossAx val="48650112"/>
        <c:crosses val="autoZero"/>
        <c:crossBetween val="between"/>
      </c:valAx>
    </c:plotArea>
    <c:legend>
      <c:legendPos val="b"/>
      <c:overlay val="0"/>
      <c:txPr>
        <a:bodyPr anchorCtr="1"/>
        <a:lstStyle/>
        <a:p>
          <a:pPr>
            <a:defRPr sz="750"/>
          </a:pPr>
          <a:endParaRPr lang="en-US"/>
        </a:p>
      </c:txPr>
    </c:legend>
    <c:plotVisOnly val="1"/>
    <c:dispBlanksAs val="zero"/>
    <c:showDLblsOverMax val="1"/>
  </c:chart>
  <c:spPr>
    <a:ln w="9525">
      <a:solidFill>
        <a:srgbClr val="D9D9D9"/>
      </a:solidFill>
      <a:prstDash val="solid"/>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US"/>
              <a:t>Free Cash Flow (£m)</a:t>
            </a:r>
          </a:p>
        </c:rich>
      </c:tx>
      <c:overlay val="0"/>
    </c:title>
    <c:autoTitleDeleted val="0"/>
    <c:plotArea>
      <c:layout/>
      <c:barChart>
        <c:barDir val="col"/>
        <c:grouping val="clustered"/>
        <c:varyColors val="0"/>
        <c:ser>
          <c:idx val="0"/>
          <c:order val="0"/>
          <c:tx>
            <c:v>Free Cash Flow</c:v>
          </c:tx>
          <c:invertIfNegative val="1"/>
          <c:cat>
            <c:numLit>
              <c:formatCode>General</c:formatCode>
              <c:ptCount val="2"/>
              <c:pt idx="0">
                <c:v>2024</c:v>
              </c:pt>
              <c:pt idx="1">
                <c:v>2025</c:v>
              </c:pt>
            </c:numLit>
          </c:cat>
          <c:val>
            <c:numLit>
              <c:formatCode>#,##0</c:formatCode>
              <c:ptCount val="2"/>
              <c:pt idx="0">
                <c:v>7250</c:v>
              </c:pt>
              <c:pt idx="1">
                <c:v>7540</c:v>
              </c:pt>
            </c:numLit>
          </c:val>
          <c:extLst>
            <c:ext xmlns:c16="http://schemas.microsoft.com/office/drawing/2014/chart" uri="{C3380CC4-5D6E-409C-BE32-E72D297353CC}">
              <c16:uniqueId val="{00000000-312D-4447-80D8-3840BE9EDBE8}"/>
            </c:ext>
          </c:extLst>
        </c:ser>
        <c:dLbls>
          <c:showLegendKey val="0"/>
          <c:showVal val="0"/>
          <c:showCatName val="0"/>
          <c:showSerName val="0"/>
          <c:showPercent val="0"/>
          <c:showBubbleSize val="0"/>
        </c:dLbls>
        <c:gapWidth val="150"/>
        <c:axId val="48650112"/>
        <c:axId val="48672768"/>
      </c:barChart>
      <c:catAx>
        <c:axId val="48650112"/>
        <c:scaling>
          <c:orientation val="minMax"/>
        </c:scaling>
        <c:delete val="0"/>
        <c:axPos val="b"/>
        <c:majorGridlines>
          <c:spPr>
            <a:ln w="9525">
              <a:solidFill>
                <a:srgbClr val="CCCCCC"/>
              </a:solidFill>
              <a:prstDash val="dash"/>
            </a:ln>
          </c:spPr>
        </c:majorGridlines>
        <c:title>
          <c:tx>
            <c:rich>
              <a:bodyPr/>
              <a:lstStyle/>
              <a:p>
                <a:r>
                  <a:rPr lang="en-US" sz="825" b="1"/>
                  <a:t>Year</a:t>
                </a:r>
              </a:p>
            </c:rich>
          </c:tx>
          <c:overlay val="0"/>
        </c:title>
        <c:numFmt formatCode="General" sourceLinked="1"/>
        <c:majorTickMark val="none"/>
        <c:minorTickMark val="none"/>
        <c:tickLblPos val="nextTo"/>
        <c:crossAx val="48672768"/>
        <c:crosses val="autoZero"/>
        <c:auto val="1"/>
        <c:lblAlgn val="ctr"/>
        <c:lblOffset val="100"/>
        <c:noMultiLvlLbl val="0"/>
      </c:catAx>
      <c:valAx>
        <c:axId val="48672768"/>
        <c:scaling>
          <c:orientation val="minMax"/>
        </c:scaling>
        <c:delete val="0"/>
        <c:axPos val="l"/>
        <c:majorGridlines>
          <c:spPr>
            <a:ln w="9525">
              <a:solidFill>
                <a:srgbClr val="E5E7EB"/>
              </a:solidFill>
              <a:prstDash val="solid"/>
            </a:ln>
          </c:spPr>
        </c:majorGridlines>
        <c:title>
          <c:tx>
            <c:rich>
              <a:bodyPr/>
              <a:lstStyle/>
              <a:p>
                <a:r>
                  <a:rPr lang="en-US" sz="825" b="1"/>
                  <a:t>£m</a:t>
                </a:r>
              </a:p>
            </c:rich>
          </c:tx>
          <c:overlay val="0"/>
        </c:title>
        <c:numFmt formatCode="#,##0" sourceLinked="1"/>
        <c:majorTickMark val="none"/>
        <c:minorTickMark val="none"/>
        <c:tickLblPos val="nextTo"/>
        <c:crossAx val="48650112"/>
        <c:crosses val="autoZero"/>
        <c:crossBetween val="between"/>
      </c:valAx>
    </c:plotArea>
    <c:legend>
      <c:legendPos val="b"/>
      <c:overlay val="0"/>
      <c:txPr>
        <a:bodyPr anchorCtr="1"/>
        <a:lstStyle/>
        <a:p>
          <a:pPr>
            <a:defRPr sz="750"/>
          </a:pPr>
          <a:endParaRPr lang="en-US"/>
        </a:p>
      </c:txPr>
    </c:legend>
    <c:plotVisOnly val="1"/>
    <c:dispBlanksAs val="zero"/>
    <c:showDLblsOverMax val="1"/>
  </c:chart>
  <c:spPr>
    <a:ln w="9525">
      <a:solidFill>
        <a:srgbClr val="D9D9D9"/>
      </a:solidFill>
      <a:prstDash val="solid"/>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US"/>
              <a:t>Free Cash Flow Margin</a:t>
            </a:r>
          </a:p>
        </c:rich>
      </c:tx>
      <c:overlay val="0"/>
    </c:title>
    <c:autoTitleDeleted val="0"/>
    <c:plotArea>
      <c:layout/>
      <c:lineChart>
        <c:grouping val="standard"/>
        <c:varyColors val="1"/>
        <c:ser>
          <c:idx val="0"/>
          <c:order val="0"/>
          <c:tx>
            <c:v>FCF Margin</c:v>
          </c:tx>
          <c:cat>
            <c:numLit>
              <c:formatCode>General</c:formatCode>
              <c:ptCount val="2"/>
              <c:pt idx="0">
                <c:v>2024</c:v>
              </c:pt>
              <c:pt idx="1">
                <c:v>2025</c:v>
              </c:pt>
            </c:numLit>
          </c:cat>
          <c:val>
            <c:numLit>
              <c:formatCode>0.00%</c:formatCode>
              <c:ptCount val="2"/>
              <c:pt idx="0">
                <c:v>0.12410133499999999</c:v>
              </c:pt>
              <c:pt idx="1">
                <c:v>0.134690961</c:v>
              </c:pt>
            </c:numLit>
          </c:val>
          <c:smooth val="0"/>
          <c:extLst>
            <c:ext xmlns:c16="http://schemas.microsoft.com/office/drawing/2014/chart" uri="{C3380CC4-5D6E-409C-BE32-E72D297353CC}">
              <c16:uniqueId val="{00000000-317E-42B1-A4BE-6DA874448528}"/>
            </c:ext>
          </c:extLst>
        </c:ser>
        <c:dLbls>
          <c:showLegendKey val="0"/>
          <c:showVal val="0"/>
          <c:showCatName val="0"/>
          <c:showSerName val="0"/>
          <c:showPercent val="0"/>
          <c:showBubbleSize val="0"/>
        </c:dLbls>
        <c:marker val="1"/>
        <c:smooth val="0"/>
        <c:axId val="48650112"/>
        <c:axId val="48672768"/>
      </c:lineChart>
      <c:catAx>
        <c:axId val="48650112"/>
        <c:scaling>
          <c:orientation val="minMax"/>
        </c:scaling>
        <c:delete val="0"/>
        <c:axPos val="b"/>
        <c:majorGridlines>
          <c:spPr>
            <a:ln w="9525">
              <a:solidFill>
                <a:srgbClr val="CCCCCC"/>
              </a:solidFill>
              <a:prstDash val="dash"/>
            </a:ln>
          </c:spPr>
        </c:majorGridlines>
        <c:title>
          <c:tx>
            <c:rich>
              <a:bodyPr/>
              <a:lstStyle/>
              <a:p>
                <a:r>
                  <a:rPr lang="en-US" sz="825" b="1"/>
                  <a:t>Year</a:t>
                </a:r>
              </a:p>
            </c:rich>
          </c:tx>
          <c:overlay val="0"/>
        </c:title>
        <c:numFmt formatCode="General" sourceLinked="1"/>
        <c:majorTickMark val="none"/>
        <c:minorTickMark val="none"/>
        <c:tickLblPos val="nextTo"/>
        <c:crossAx val="48672768"/>
        <c:crosses val="autoZero"/>
        <c:auto val="1"/>
        <c:lblAlgn val="ctr"/>
        <c:lblOffset val="100"/>
        <c:noMultiLvlLbl val="0"/>
      </c:catAx>
      <c:valAx>
        <c:axId val="48672768"/>
        <c:scaling>
          <c:orientation val="minMax"/>
        </c:scaling>
        <c:delete val="0"/>
        <c:axPos val="l"/>
        <c:majorGridlines>
          <c:spPr>
            <a:ln w="9525">
              <a:solidFill>
                <a:srgbClr val="E5E7EB"/>
              </a:solidFill>
              <a:prstDash val="solid"/>
            </a:ln>
          </c:spPr>
        </c:majorGridlines>
        <c:title>
          <c:tx>
            <c:rich>
              <a:bodyPr/>
              <a:lstStyle/>
              <a:p>
                <a:r>
                  <a:rPr lang="en-US" sz="825" b="1"/>
                  <a:t>Margin (%)</a:t>
                </a:r>
              </a:p>
            </c:rich>
          </c:tx>
          <c:overlay val="0"/>
        </c:title>
        <c:numFmt formatCode="0.00%" sourceLinked="1"/>
        <c:majorTickMark val="none"/>
        <c:minorTickMark val="none"/>
        <c:tickLblPos val="nextTo"/>
        <c:crossAx val="48650112"/>
        <c:crosses val="autoZero"/>
        <c:crossBetween val="between"/>
      </c:valAx>
    </c:plotArea>
    <c:legend>
      <c:legendPos val="b"/>
      <c:overlay val="0"/>
      <c:txPr>
        <a:bodyPr anchorCtr="1"/>
        <a:lstStyle/>
        <a:p>
          <a:pPr>
            <a:defRPr sz="750"/>
          </a:pPr>
          <a:endParaRPr lang="en-US"/>
        </a:p>
      </c:txPr>
    </c:legend>
    <c:plotVisOnly val="1"/>
    <c:dispBlanksAs val="zero"/>
    <c:showDLblsOverMax val="1"/>
  </c:chart>
  <c:spPr>
    <a:ln w="9525">
      <a:solidFill>
        <a:srgbClr val="D9D9D9"/>
      </a:solidFill>
      <a:prstDash val="solid"/>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3240</Words>
  <Characters>18471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21668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Dipesh</cp:lastModifiedBy>
  <cp:revision>27</cp:revision>
  <dcterms:created xsi:type="dcterms:W3CDTF">2013-12-23T23:15:00Z</dcterms:created>
  <dcterms:modified xsi:type="dcterms:W3CDTF">2026-04-23T11:39:00Z</dcterms:modified>
  <cp:category/>
</cp:coreProperties>
</file>