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6D373" w14:textId="77777777" w:rsidR="00F45786" w:rsidRPr="00160E25" w:rsidRDefault="00000000" w:rsidP="00160E25">
      <w:pPr>
        <w:spacing w:line="360" w:lineRule="auto"/>
        <w:jc w:val="center"/>
        <w:rPr>
          <w:rFonts w:cs="Times New Roman"/>
          <w:b/>
          <w:sz w:val="28"/>
        </w:rPr>
      </w:pPr>
      <w:r w:rsidRPr="00160E25">
        <w:rPr>
          <w:rFonts w:cs="Times New Roman"/>
          <w:b/>
          <w:sz w:val="28"/>
        </w:rPr>
        <w:t>Critical Review of the USALI Universal Accounting Framework in Singapore's Tourism, Hospitality and Entertainment Industries</w:t>
      </w:r>
    </w:p>
    <w:p w14:paraId="0641E64C" w14:textId="77777777" w:rsidR="00160E25" w:rsidRPr="00160E25" w:rsidRDefault="00160E25" w:rsidP="00160E25">
      <w:pPr>
        <w:spacing w:line="360" w:lineRule="auto"/>
        <w:jc w:val="center"/>
        <w:rPr>
          <w:rFonts w:cs="Times New Roman"/>
          <w:b/>
          <w:sz w:val="28"/>
        </w:rPr>
      </w:pPr>
    </w:p>
    <w:p w14:paraId="2FA3BBBA" w14:textId="77777777" w:rsidR="00160E25" w:rsidRPr="00160E25" w:rsidRDefault="00160E25" w:rsidP="00160E25">
      <w:pPr>
        <w:spacing w:line="360" w:lineRule="auto"/>
        <w:jc w:val="center"/>
        <w:rPr>
          <w:rFonts w:cs="Times New Roman"/>
          <w:b/>
          <w:sz w:val="28"/>
        </w:rPr>
      </w:pPr>
    </w:p>
    <w:p w14:paraId="510C008D" w14:textId="77777777" w:rsidR="00160E25" w:rsidRPr="00160E25" w:rsidRDefault="00160E25" w:rsidP="00160E25">
      <w:pPr>
        <w:spacing w:line="360" w:lineRule="auto"/>
        <w:jc w:val="center"/>
        <w:rPr>
          <w:rFonts w:cs="Times New Roman"/>
          <w:b/>
          <w:sz w:val="28"/>
        </w:rPr>
      </w:pPr>
    </w:p>
    <w:p w14:paraId="7F888CD1" w14:textId="77777777" w:rsidR="00160E25" w:rsidRPr="00160E25" w:rsidRDefault="00160E25" w:rsidP="00160E25">
      <w:pPr>
        <w:spacing w:line="360" w:lineRule="auto"/>
        <w:jc w:val="center"/>
        <w:rPr>
          <w:rFonts w:cs="Times New Roman"/>
          <w:b/>
          <w:sz w:val="28"/>
        </w:rPr>
      </w:pPr>
    </w:p>
    <w:p w14:paraId="755C48F9" w14:textId="77777777" w:rsidR="00160E25" w:rsidRPr="00160E25" w:rsidRDefault="00160E25" w:rsidP="00160E25">
      <w:pPr>
        <w:spacing w:line="360" w:lineRule="auto"/>
        <w:jc w:val="center"/>
        <w:rPr>
          <w:rFonts w:cs="Times New Roman"/>
          <w:b/>
          <w:sz w:val="28"/>
        </w:rPr>
      </w:pPr>
    </w:p>
    <w:p w14:paraId="73AA548C" w14:textId="77777777" w:rsidR="00160E25" w:rsidRPr="00160E25" w:rsidRDefault="00160E25" w:rsidP="00160E25">
      <w:pPr>
        <w:spacing w:line="360" w:lineRule="auto"/>
        <w:jc w:val="center"/>
        <w:rPr>
          <w:rFonts w:cs="Times New Roman"/>
          <w:b/>
          <w:sz w:val="28"/>
        </w:rPr>
      </w:pPr>
    </w:p>
    <w:p w14:paraId="3F4F5037" w14:textId="77777777" w:rsidR="00160E25" w:rsidRPr="00160E25" w:rsidRDefault="00160E25" w:rsidP="00160E25">
      <w:pPr>
        <w:spacing w:line="360" w:lineRule="auto"/>
        <w:jc w:val="center"/>
        <w:rPr>
          <w:rFonts w:cs="Times New Roman"/>
          <w:b/>
          <w:sz w:val="28"/>
        </w:rPr>
      </w:pPr>
    </w:p>
    <w:p w14:paraId="0425B107" w14:textId="77777777" w:rsidR="00160E25" w:rsidRPr="00160E25" w:rsidRDefault="00160E25" w:rsidP="00160E25">
      <w:pPr>
        <w:spacing w:line="360" w:lineRule="auto"/>
        <w:jc w:val="center"/>
        <w:rPr>
          <w:rFonts w:cs="Times New Roman"/>
          <w:b/>
          <w:sz w:val="28"/>
        </w:rPr>
      </w:pPr>
    </w:p>
    <w:p w14:paraId="1F8916B4" w14:textId="77777777" w:rsidR="00160E25" w:rsidRPr="00160E25" w:rsidRDefault="00160E25" w:rsidP="00160E25">
      <w:pPr>
        <w:spacing w:line="360" w:lineRule="auto"/>
        <w:jc w:val="center"/>
        <w:rPr>
          <w:rFonts w:cs="Times New Roman"/>
          <w:b/>
          <w:sz w:val="28"/>
        </w:rPr>
      </w:pPr>
    </w:p>
    <w:p w14:paraId="412D53B9" w14:textId="77777777" w:rsidR="00160E25" w:rsidRPr="00160E25" w:rsidRDefault="00160E25" w:rsidP="00160E25">
      <w:pPr>
        <w:spacing w:line="360" w:lineRule="auto"/>
        <w:jc w:val="center"/>
        <w:rPr>
          <w:rFonts w:cs="Times New Roman"/>
          <w:b/>
          <w:sz w:val="28"/>
        </w:rPr>
      </w:pPr>
    </w:p>
    <w:p w14:paraId="0C1CAB53" w14:textId="77777777" w:rsidR="00160E25" w:rsidRPr="00160E25" w:rsidRDefault="00160E25" w:rsidP="00160E25">
      <w:pPr>
        <w:spacing w:line="360" w:lineRule="auto"/>
        <w:jc w:val="center"/>
        <w:rPr>
          <w:rFonts w:cs="Times New Roman"/>
          <w:b/>
          <w:sz w:val="28"/>
        </w:rPr>
      </w:pPr>
    </w:p>
    <w:p w14:paraId="6E3D3A0B" w14:textId="77777777" w:rsidR="00160E25" w:rsidRPr="00160E25" w:rsidRDefault="00160E25" w:rsidP="00160E25">
      <w:pPr>
        <w:spacing w:line="360" w:lineRule="auto"/>
        <w:jc w:val="center"/>
        <w:rPr>
          <w:rFonts w:cs="Times New Roman"/>
          <w:b/>
          <w:sz w:val="28"/>
        </w:rPr>
      </w:pPr>
    </w:p>
    <w:p w14:paraId="204BF82E" w14:textId="77777777" w:rsidR="00160E25" w:rsidRPr="00160E25" w:rsidRDefault="00160E25" w:rsidP="00160E25">
      <w:pPr>
        <w:spacing w:line="360" w:lineRule="auto"/>
        <w:jc w:val="center"/>
        <w:rPr>
          <w:rFonts w:cs="Times New Roman"/>
          <w:b/>
          <w:sz w:val="28"/>
        </w:rPr>
      </w:pPr>
    </w:p>
    <w:p w14:paraId="535A94CA" w14:textId="77777777" w:rsidR="00160E25" w:rsidRPr="00160E25" w:rsidRDefault="00160E25" w:rsidP="00160E25">
      <w:pPr>
        <w:spacing w:line="360" w:lineRule="auto"/>
        <w:jc w:val="center"/>
        <w:rPr>
          <w:rFonts w:cs="Times New Roman"/>
          <w:b/>
          <w:sz w:val="28"/>
        </w:rPr>
      </w:pPr>
    </w:p>
    <w:p w14:paraId="1FF219E7" w14:textId="77777777" w:rsidR="00160E25" w:rsidRPr="00160E25" w:rsidRDefault="00160E25" w:rsidP="00160E25">
      <w:pPr>
        <w:spacing w:line="360" w:lineRule="auto"/>
        <w:jc w:val="center"/>
        <w:rPr>
          <w:rFonts w:cs="Times New Roman"/>
          <w:b/>
          <w:sz w:val="28"/>
        </w:rPr>
      </w:pPr>
    </w:p>
    <w:p w14:paraId="7E9CEBA8" w14:textId="77777777" w:rsidR="00160E25" w:rsidRPr="00160E25" w:rsidRDefault="00160E25" w:rsidP="00160E25">
      <w:pPr>
        <w:spacing w:line="360" w:lineRule="auto"/>
        <w:jc w:val="center"/>
        <w:rPr>
          <w:rFonts w:cs="Times New Roman"/>
          <w:b/>
          <w:sz w:val="28"/>
        </w:rPr>
      </w:pPr>
    </w:p>
    <w:p w14:paraId="37BDA958" w14:textId="77777777" w:rsidR="00160E25" w:rsidRPr="00160E25" w:rsidRDefault="00160E25" w:rsidP="00160E25">
      <w:pPr>
        <w:spacing w:line="360" w:lineRule="auto"/>
        <w:jc w:val="center"/>
        <w:rPr>
          <w:rFonts w:cs="Times New Roman"/>
          <w:b/>
          <w:sz w:val="28"/>
        </w:rPr>
      </w:pPr>
    </w:p>
    <w:p w14:paraId="308379EF" w14:textId="77777777" w:rsidR="00160E25" w:rsidRPr="00160E25" w:rsidRDefault="00160E25" w:rsidP="00160E25">
      <w:pPr>
        <w:spacing w:line="360" w:lineRule="auto"/>
        <w:jc w:val="center"/>
        <w:rPr>
          <w:rFonts w:cs="Times New Roman"/>
          <w:b/>
          <w:sz w:val="28"/>
        </w:rPr>
      </w:pPr>
    </w:p>
    <w:p w14:paraId="22B0902B" w14:textId="77777777" w:rsidR="00160E25" w:rsidRPr="00160E25" w:rsidRDefault="00160E25" w:rsidP="00160E25">
      <w:pPr>
        <w:spacing w:line="360" w:lineRule="auto"/>
        <w:jc w:val="center"/>
        <w:rPr>
          <w:rFonts w:cs="Times New Roman"/>
          <w:b/>
          <w:sz w:val="28"/>
        </w:rPr>
      </w:pPr>
    </w:p>
    <w:p w14:paraId="534B2586" w14:textId="77777777" w:rsidR="00160E25" w:rsidRPr="00160E25" w:rsidRDefault="00160E25" w:rsidP="00160E25">
      <w:pPr>
        <w:spacing w:line="360" w:lineRule="auto"/>
        <w:jc w:val="center"/>
        <w:rPr>
          <w:rFonts w:cs="Times New Roman"/>
          <w:b/>
          <w:sz w:val="28"/>
        </w:rPr>
      </w:pPr>
    </w:p>
    <w:p w14:paraId="562C326F" w14:textId="77777777" w:rsidR="00160E25" w:rsidRPr="00160E25" w:rsidRDefault="00160E25" w:rsidP="00160E25">
      <w:pPr>
        <w:spacing w:line="360" w:lineRule="auto"/>
        <w:jc w:val="center"/>
        <w:rPr>
          <w:rFonts w:cs="Times New Roman"/>
          <w:b/>
          <w:sz w:val="28"/>
        </w:rPr>
      </w:pPr>
    </w:p>
    <w:p w14:paraId="5C3918D0" w14:textId="77777777" w:rsidR="00160E25" w:rsidRPr="00160E25" w:rsidRDefault="00160E25" w:rsidP="00160E25">
      <w:pPr>
        <w:spacing w:line="360" w:lineRule="auto"/>
        <w:rPr>
          <w:rFonts w:cs="Times New Roman"/>
          <w:b/>
          <w:sz w:val="28"/>
        </w:rPr>
      </w:pPr>
    </w:p>
    <w:sdt>
      <w:sdtPr>
        <w:rPr>
          <w:rFonts w:ascii="Times New Roman" w:hAnsi="Times New Roman" w:cs="Times New Roman"/>
        </w:rPr>
        <w:id w:val="230049063"/>
        <w:docPartObj>
          <w:docPartGallery w:val="Table of Contents"/>
          <w:docPartUnique/>
        </w:docPartObj>
      </w:sdtPr>
      <w:sdtEndPr>
        <w:rPr>
          <w:rFonts w:eastAsia="Times New Roman"/>
          <w:noProof/>
          <w:sz w:val="24"/>
          <w:szCs w:val="22"/>
        </w:rPr>
      </w:sdtEndPr>
      <w:sdtContent>
        <w:p w14:paraId="1305B03C" w14:textId="51DB0972" w:rsidR="00160E25" w:rsidRPr="00160E25" w:rsidRDefault="00160E25" w:rsidP="00160E25">
          <w:pPr>
            <w:pStyle w:val="TOCHeading"/>
            <w:spacing w:line="360" w:lineRule="auto"/>
            <w:rPr>
              <w:rFonts w:ascii="Times New Roman" w:hAnsi="Times New Roman" w:cs="Times New Roman"/>
            </w:rPr>
          </w:pPr>
          <w:r w:rsidRPr="00160E25">
            <w:rPr>
              <w:rFonts w:ascii="Times New Roman" w:hAnsi="Times New Roman" w:cs="Times New Roman"/>
            </w:rPr>
            <w:t>Table of Contents</w:t>
          </w:r>
        </w:p>
        <w:p w14:paraId="6D3AAAA7" w14:textId="483F9FC8" w:rsidR="00160E25" w:rsidRDefault="00160E25" w:rsidP="00160E25">
          <w:pPr>
            <w:pStyle w:val="TOC1"/>
            <w:tabs>
              <w:tab w:val="right" w:leader="dot" w:pos="9307"/>
            </w:tabs>
            <w:spacing w:line="360" w:lineRule="auto"/>
            <w:rPr>
              <w:rFonts w:asciiTheme="minorHAnsi" w:eastAsiaTheme="minorEastAsia" w:hAnsiTheme="minorHAnsi"/>
              <w:noProof/>
              <w:kern w:val="2"/>
              <w:szCs w:val="24"/>
              <w14:ligatures w14:val="standardContextual"/>
            </w:rPr>
          </w:pPr>
          <w:r w:rsidRPr="00160E25">
            <w:rPr>
              <w:rFonts w:cs="Times New Roman"/>
            </w:rPr>
            <w:fldChar w:fldCharType="begin"/>
          </w:r>
          <w:r w:rsidRPr="00160E25">
            <w:rPr>
              <w:rFonts w:cs="Times New Roman"/>
            </w:rPr>
            <w:instrText xml:space="preserve"> TOC \o "1-3" \h \z \u </w:instrText>
          </w:r>
          <w:r w:rsidRPr="00160E25">
            <w:rPr>
              <w:rFonts w:cs="Times New Roman"/>
            </w:rPr>
            <w:fldChar w:fldCharType="separate"/>
          </w:r>
          <w:hyperlink w:anchor="_Toc228726899" w:history="1">
            <w:r w:rsidRPr="00E31C4A">
              <w:rPr>
                <w:rStyle w:val="Hyperlink"/>
                <w:rFonts w:cs="Times New Roman"/>
                <w:noProof/>
              </w:rPr>
              <w:t>1. Introduction</w:t>
            </w:r>
            <w:r>
              <w:rPr>
                <w:noProof/>
                <w:webHidden/>
              </w:rPr>
              <w:tab/>
            </w:r>
            <w:r>
              <w:rPr>
                <w:noProof/>
                <w:webHidden/>
              </w:rPr>
              <w:fldChar w:fldCharType="begin"/>
            </w:r>
            <w:r>
              <w:rPr>
                <w:noProof/>
                <w:webHidden/>
              </w:rPr>
              <w:instrText xml:space="preserve"> PAGEREF _Toc228726899 \h </w:instrText>
            </w:r>
            <w:r>
              <w:rPr>
                <w:noProof/>
                <w:webHidden/>
              </w:rPr>
            </w:r>
            <w:r>
              <w:rPr>
                <w:noProof/>
                <w:webHidden/>
              </w:rPr>
              <w:fldChar w:fldCharType="separate"/>
            </w:r>
            <w:r>
              <w:rPr>
                <w:noProof/>
                <w:webHidden/>
              </w:rPr>
              <w:t>3</w:t>
            </w:r>
            <w:r>
              <w:rPr>
                <w:noProof/>
                <w:webHidden/>
              </w:rPr>
              <w:fldChar w:fldCharType="end"/>
            </w:r>
          </w:hyperlink>
        </w:p>
        <w:p w14:paraId="7EB1B430" w14:textId="27482549" w:rsidR="00160E25" w:rsidRDefault="00160E25" w:rsidP="00160E25">
          <w:pPr>
            <w:pStyle w:val="TOC1"/>
            <w:tabs>
              <w:tab w:val="right" w:leader="dot" w:pos="9307"/>
            </w:tabs>
            <w:spacing w:line="360" w:lineRule="auto"/>
            <w:rPr>
              <w:rFonts w:asciiTheme="minorHAnsi" w:eastAsiaTheme="minorEastAsia" w:hAnsiTheme="minorHAnsi"/>
              <w:noProof/>
              <w:kern w:val="2"/>
              <w:szCs w:val="24"/>
              <w14:ligatures w14:val="standardContextual"/>
            </w:rPr>
          </w:pPr>
          <w:hyperlink w:anchor="_Toc228726900" w:history="1">
            <w:r w:rsidRPr="00E31C4A">
              <w:rPr>
                <w:rStyle w:val="Hyperlink"/>
                <w:rFonts w:cs="Times New Roman"/>
                <w:noProof/>
              </w:rPr>
              <w:t>2. USALI and the Singapore THE Context</w:t>
            </w:r>
            <w:r>
              <w:rPr>
                <w:noProof/>
                <w:webHidden/>
              </w:rPr>
              <w:tab/>
            </w:r>
            <w:r>
              <w:rPr>
                <w:noProof/>
                <w:webHidden/>
              </w:rPr>
              <w:fldChar w:fldCharType="begin"/>
            </w:r>
            <w:r>
              <w:rPr>
                <w:noProof/>
                <w:webHidden/>
              </w:rPr>
              <w:instrText xml:space="preserve"> PAGEREF _Toc228726900 \h </w:instrText>
            </w:r>
            <w:r>
              <w:rPr>
                <w:noProof/>
                <w:webHidden/>
              </w:rPr>
            </w:r>
            <w:r>
              <w:rPr>
                <w:noProof/>
                <w:webHidden/>
              </w:rPr>
              <w:fldChar w:fldCharType="separate"/>
            </w:r>
            <w:r>
              <w:rPr>
                <w:noProof/>
                <w:webHidden/>
              </w:rPr>
              <w:t>3</w:t>
            </w:r>
            <w:r>
              <w:rPr>
                <w:noProof/>
                <w:webHidden/>
              </w:rPr>
              <w:fldChar w:fldCharType="end"/>
            </w:r>
          </w:hyperlink>
        </w:p>
        <w:p w14:paraId="025A8875" w14:textId="2EE7FEA8" w:rsidR="00160E25" w:rsidRDefault="00160E25" w:rsidP="00160E25">
          <w:pPr>
            <w:pStyle w:val="TOC1"/>
            <w:tabs>
              <w:tab w:val="right" w:leader="dot" w:pos="9307"/>
            </w:tabs>
            <w:spacing w:line="360" w:lineRule="auto"/>
            <w:rPr>
              <w:rFonts w:asciiTheme="minorHAnsi" w:eastAsiaTheme="minorEastAsia" w:hAnsiTheme="minorHAnsi"/>
              <w:noProof/>
              <w:kern w:val="2"/>
              <w:szCs w:val="24"/>
              <w14:ligatures w14:val="standardContextual"/>
            </w:rPr>
          </w:pPr>
          <w:hyperlink w:anchor="_Toc228726901" w:history="1">
            <w:r w:rsidRPr="00E31C4A">
              <w:rPr>
                <w:rStyle w:val="Hyperlink"/>
                <w:rFonts w:cs="Times New Roman"/>
                <w:noProof/>
              </w:rPr>
              <w:t>3. Case Analysis: Hilton and Accor in Singapore</w:t>
            </w:r>
            <w:r>
              <w:rPr>
                <w:noProof/>
                <w:webHidden/>
              </w:rPr>
              <w:tab/>
            </w:r>
            <w:r>
              <w:rPr>
                <w:noProof/>
                <w:webHidden/>
              </w:rPr>
              <w:fldChar w:fldCharType="begin"/>
            </w:r>
            <w:r>
              <w:rPr>
                <w:noProof/>
                <w:webHidden/>
              </w:rPr>
              <w:instrText xml:space="preserve"> PAGEREF _Toc228726901 \h </w:instrText>
            </w:r>
            <w:r>
              <w:rPr>
                <w:noProof/>
                <w:webHidden/>
              </w:rPr>
            </w:r>
            <w:r>
              <w:rPr>
                <w:noProof/>
                <w:webHidden/>
              </w:rPr>
              <w:fldChar w:fldCharType="separate"/>
            </w:r>
            <w:r>
              <w:rPr>
                <w:noProof/>
                <w:webHidden/>
              </w:rPr>
              <w:t>4</w:t>
            </w:r>
            <w:r>
              <w:rPr>
                <w:noProof/>
                <w:webHidden/>
              </w:rPr>
              <w:fldChar w:fldCharType="end"/>
            </w:r>
          </w:hyperlink>
        </w:p>
        <w:p w14:paraId="66319D16" w14:textId="39F37428" w:rsidR="00160E25" w:rsidRDefault="00160E25" w:rsidP="00160E25">
          <w:pPr>
            <w:pStyle w:val="TOC1"/>
            <w:tabs>
              <w:tab w:val="right" w:leader="dot" w:pos="9307"/>
            </w:tabs>
            <w:spacing w:line="360" w:lineRule="auto"/>
            <w:rPr>
              <w:rFonts w:asciiTheme="minorHAnsi" w:eastAsiaTheme="minorEastAsia" w:hAnsiTheme="minorHAnsi"/>
              <w:noProof/>
              <w:kern w:val="2"/>
              <w:szCs w:val="24"/>
              <w14:ligatures w14:val="standardContextual"/>
            </w:rPr>
          </w:pPr>
          <w:hyperlink w:anchor="_Toc228726902" w:history="1">
            <w:r w:rsidRPr="00E31C4A">
              <w:rPr>
                <w:rStyle w:val="Hyperlink"/>
                <w:rFonts w:cs="Times New Roman"/>
                <w:noProof/>
              </w:rPr>
              <w:t>4. Advantages of a Universal Accounting Framework</w:t>
            </w:r>
            <w:r>
              <w:rPr>
                <w:noProof/>
                <w:webHidden/>
              </w:rPr>
              <w:tab/>
            </w:r>
            <w:r>
              <w:rPr>
                <w:noProof/>
                <w:webHidden/>
              </w:rPr>
              <w:fldChar w:fldCharType="begin"/>
            </w:r>
            <w:r>
              <w:rPr>
                <w:noProof/>
                <w:webHidden/>
              </w:rPr>
              <w:instrText xml:space="preserve"> PAGEREF _Toc228726902 \h </w:instrText>
            </w:r>
            <w:r>
              <w:rPr>
                <w:noProof/>
                <w:webHidden/>
              </w:rPr>
            </w:r>
            <w:r>
              <w:rPr>
                <w:noProof/>
                <w:webHidden/>
              </w:rPr>
              <w:fldChar w:fldCharType="separate"/>
            </w:r>
            <w:r>
              <w:rPr>
                <w:noProof/>
                <w:webHidden/>
              </w:rPr>
              <w:t>5</w:t>
            </w:r>
            <w:r>
              <w:rPr>
                <w:noProof/>
                <w:webHidden/>
              </w:rPr>
              <w:fldChar w:fldCharType="end"/>
            </w:r>
          </w:hyperlink>
        </w:p>
        <w:p w14:paraId="186431C2" w14:textId="071DEB0E" w:rsidR="00160E25" w:rsidRDefault="00160E25" w:rsidP="00160E25">
          <w:pPr>
            <w:pStyle w:val="TOC1"/>
            <w:tabs>
              <w:tab w:val="right" w:leader="dot" w:pos="9307"/>
            </w:tabs>
            <w:spacing w:line="360" w:lineRule="auto"/>
            <w:rPr>
              <w:rFonts w:asciiTheme="minorHAnsi" w:eastAsiaTheme="minorEastAsia" w:hAnsiTheme="minorHAnsi"/>
              <w:noProof/>
              <w:kern w:val="2"/>
              <w:szCs w:val="24"/>
              <w14:ligatures w14:val="standardContextual"/>
            </w:rPr>
          </w:pPr>
          <w:hyperlink w:anchor="_Toc228726903" w:history="1">
            <w:r w:rsidRPr="00E31C4A">
              <w:rPr>
                <w:rStyle w:val="Hyperlink"/>
                <w:rFonts w:cs="Times New Roman"/>
                <w:noProof/>
              </w:rPr>
              <w:t>5. Problems, Limitations and Tensions</w:t>
            </w:r>
            <w:r>
              <w:rPr>
                <w:noProof/>
                <w:webHidden/>
              </w:rPr>
              <w:tab/>
            </w:r>
            <w:r>
              <w:rPr>
                <w:noProof/>
                <w:webHidden/>
              </w:rPr>
              <w:fldChar w:fldCharType="begin"/>
            </w:r>
            <w:r>
              <w:rPr>
                <w:noProof/>
                <w:webHidden/>
              </w:rPr>
              <w:instrText xml:space="preserve"> PAGEREF _Toc228726903 \h </w:instrText>
            </w:r>
            <w:r>
              <w:rPr>
                <w:noProof/>
                <w:webHidden/>
              </w:rPr>
            </w:r>
            <w:r>
              <w:rPr>
                <w:noProof/>
                <w:webHidden/>
              </w:rPr>
              <w:fldChar w:fldCharType="separate"/>
            </w:r>
            <w:r>
              <w:rPr>
                <w:noProof/>
                <w:webHidden/>
              </w:rPr>
              <w:t>6</w:t>
            </w:r>
            <w:r>
              <w:rPr>
                <w:noProof/>
                <w:webHidden/>
              </w:rPr>
              <w:fldChar w:fldCharType="end"/>
            </w:r>
          </w:hyperlink>
        </w:p>
        <w:p w14:paraId="56D5A502" w14:textId="2631092E" w:rsidR="00160E25" w:rsidRDefault="00160E25" w:rsidP="00160E25">
          <w:pPr>
            <w:pStyle w:val="TOC1"/>
            <w:tabs>
              <w:tab w:val="right" w:leader="dot" w:pos="9307"/>
            </w:tabs>
            <w:spacing w:line="360" w:lineRule="auto"/>
            <w:rPr>
              <w:rFonts w:asciiTheme="minorHAnsi" w:eastAsiaTheme="minorEastAsia" w:hAnsiTheme="minorHAnsi"/>
              <w:noProof/>
              <w:kern w:val="2"/>
              <w:szCs w:val="24"/>
              <w14:ligatures w14:val="standardContextual"/>
            </w:rPr>
          </w:pPr>
          <w:hyperlink w:anchor="_Toc228726904" w:history="1">
            <w:r w:rsidRPr="00E31C4A">
              <w:rPr>
                <w:rStyle w:val="Hyperlink"/>
                <w:rFonts w:cs="Times New Roman"/>
                <w:noProof/>
              </w:rPr>
              <w:t>6. Reflective Critical Discussion and Conclusion</w:t>
            </w:r>
            <w:r>
              <w:rPr>
                <w:noProof/>
                <w:webHidden/>
              </w:rPr>
              <w:tab/>
            </w:r>
            <w:r>
              <w:rPr>
                <w:noProof/>
                <w:webHidden/>
              </w:rPr>
              <w:fldChar w:fldCharType="begin"/>
            </w:r>
            <w:r>
              <w:rPr>
                <w:noProof/>
                <w:webHidden/>
              </w:rPr>
              <w:instrText xml:space="preserve"> PAGEREF _Toc228726904 \h </w:instrText>
            </w:r>
            <w:r>
              <w:rPr>
                <w:noProof/>
                <w:webHidden/>
              </w:rPr>
            </w:r>
            <w:r>
              <w:rPr>
                <w:noProof/>
                <w:webHidden/>
              </w:rPr>
              <w:fldChar w:fldCharType="separate"/>
            </w:r>
            <w:r>
              <w:rPr>
                <w:noProof/>
                <w:webHidden/>
              </w:rPr>
              <w:t>7</w:t>
            </w:r>
            <w:r>
              <w:rPr>
                <w:noProof/>
                <w:webHidden/>
              </w:rPr>
              <w:fldChar w:fldCharType="end"/>
            </w:r>
          </w:hyperlink>
        </w:p>
        <w:p w14:paraId="5D282D25" w14:textId="4608F102" w:rsidR="00160E25" w:rsidRDefault="00160E25" w:rsidP="00160E25">
          <w:pPr>
            <w:pStyle w:val="TOC1"/>
            <w:tabs>
              <w:tab w:val="right" w:leader="dot" w:pos="9307"/>
            </w:tabs>
            <w:spacing w:line="360" w:lineRule="auto"/>
            <w:rPr>
              <w:rFonts w:asciiTheme="minorHAnsi" w:eastAsiaTheme="minorEastAsia" w:hAnsiTheme="minorHAnsi"/>
              <w:noProof/>
              <w:kern w:val="2"/>
              <w:szCs w:val="24"/>
              <w14:ligatures w14:val="standardContextual"/>
            </w:rPr>
          </w:pPr>
          <w:hyperlink w:anchor="_Toc228726905" w:history="1">
            <w:r w:rsidRPr="00E31C4A">
              <w:rPr>
                <w:rStyle w:val="Hyperlink"/>
                <w:rFonts w:cs="Times New Roman"/>
                <w:noProof/>
              </w:rPr>
              <w:t>References</w:t>
            </w:r>
            <w:r>
              <w:rPr>
                <w:noProof/>
                <w:webHidden/>
              </w:rPr>
              <w:tab/>
            </w:r>
            <w:r>
              <w:rPr>
                <w:noProof/>
                <w:webHidden/>
              </w:rPr>
              <w:fldChar w:fldCharType="begin"/>
            </w:r>
            <w:r>
              <w:rPr>
                <w:noProof/>
                <w:webHidden/>
              </w:rPr>
              <w:instrText xml:space="preserve"> PAGEREF _Toc228726905 \h </w:instrText>
            </w:r>
            <w:r>
              <w:rPr>
                <w:noProof/>
                <w:webHidden/>
              </w:rPr>
            </w:r>
            <w:r>
              <w:rPr>
                <w:noProof/>
                <w:webHidden/>
              </w:rPr>
              <w:fldChar w:fldCharType="separate"/>
            </w:r>
            <w:r>
              <w:rPr>
                <w:noProof/>
                <w:webHidden/>
              </w:rPr>
              <w:t>8</w:t>
            </w:r>
            <w:r>
              <w:rPr>
                <w:noProof/>
                <w:webHidden/>
              </w:rPr>
              <w:fldChar w:fldCharType="end"/>
            </w:r>
          </w:hyperlink>
        </w:p>
        <w:p w14:paraId="5C46A76A" w14:textId="6958C219" w:rsidR="00160E25" w:rsidRPr="00160E25" w:rsidRDefault="00160E25" w:rsidP="00160E25">
          <w:pPr>
            <w:spacing w:line="360" w:lineRule="auto"/>
            <w:rPr>
              <w:rFonts w:cs="Times New Roman"/>
            </w:rPr>
          </w:pPr>
          <w:r w:rsidRPr="00160E25">
            <w:rPr>
              <w:rFonts w:cs="Times New Roman"/>
              <w:b/>
              <w:bCs/>
              <w:noProof/>
            </w:rPr>
            <w:fldChar w:fldCharType="end"/>
          </w:r>
        </w:p>
      </w:sdtContent>
    </w:sdt>
    <w:p w14:paraId="67CDE84F" w14:textId="77777777" w:rsidR="00160E25" w:rsidRPr="00160E25" w:rsidRDefault="00160E25" w:rsidP="00160E25">
      <w:pPr>
        <w:spacing w:line="360" w:lineRule="auto"/>
        <w:jc w:val="left"/>
        <w:rPr>
          <w:rFonts w:cs="Times New Roman"/>
        </w:rPr>
      </w:pPr>
    </w:p>
    <w:p w14:paraId="299AF90E" w14:textId="77777777" w:rsidR="00160E25" w:rsidRPr="00160E25" w:rsidRDefault="00160E25" w:rsidP="00160E25">
      <w:pPr>
        <w:spacing w:line="360" w:lineRule="auto"/>
        <w:jc w:val="left"/>
        <w:rPr>
          <w:rFonts w:cs="Times New Roman"/>
        </w:rPr>
      </w:pPr>
    </w:p>
    <w:p w14:paraId="7E49F79A" w14:textId="77777777" w:rsidR="00160E25" w:rsidRPr="00160E25" w:rsidRDefault="00160E25" w:rsidP="00160E25">
      <w:pPr>
        <w:spacing w:line="360" w:lineRule="auto"/>
        <w:jc w:val="left"/>
        <w:rPr>
          <w:rFonts w:cs="Times New Roman"/>
        </w:rPr>
      </w:pPr>
    </w:p>
    <w:p w14:paraId="0DF224E4" w14:textId="77777777" w:rsidR="00160E25" w:rsidRPr="00160E25" w:rsidRDefault="00160E25" w:rsidP="00160E25">
      <w:pPr>
        <w:spacing w:line="360" w:lineRule="auto"/>
        <w:jc w:val="left"/>
        <w:rPr>
          <w:rFonts w:cs="Times New Roman"/>
        </w:rPr>
      </w:pPr>
    </w:p>
    <w:p w14:paraId="4F871278" w14:textId="77777777" w:rsidR="00160E25" w:rsidRPr="00160E25" w:rsidRDefault="00160E25" w:rsidP="00160E25">
      <w:pPr>
        <w:spacing w:line="360" w:lineRule="auto"/>
        <w:jc w:val="left"/>
        <w:rPr>
          <w:rFonts w:cs="Times New Roman"/>
        </w:rPr>
      </w:pPr>
    </w:p>
    <w:p w14:paraId="6B7EF31F" w14:textId="77777777" w:rsidR="00160E25" w:rsidRPr="00160E25" w:rsidRDefault="00160E25" w:rsidP="00160E25">
      <w:pPr>
        <w:spacing w:line="360" w:lineRule="auto"/>
        <w:jc w:val="left"/>
        <w:rPr>
          <w:rFonts w:cs="Times New Roman"/>
        </w:rPr>
      </w:pPr>
    </w:p>
    <w:p w14:paraId="4399E8BB" w14:textId="77777777" w:rsidR="00160E25" w:rsidRPr="00160E25" w:rsidRDefault="00160E25" w:rsidP="00160E25">
      <w:pPr>
        <w:spacing w:line="360" w:lineRule="auto"/>
        <w:jc w:val="left"/>
        <w:rPr>
          <w:rFonts w:cs="Times New Roman"/>
        </w:rPr>
      </w:pPr>
    </w:p>
    <w:p w14:paraId="25804D3D" w14:textId="77777777" w:rsidR="00160E25" w:rsidRDefault="00160E25" w:rsidP="00160E25">
      <w:pPr>
        <w:spacing w:line="360" w:lineRule="auto"/>
        <w:jc w:val="left"/>
        <w:rPr>
          <w:rFonts w:cs="Times New Roman"/>
        </w:rPr>
      </w:pPr>
    </w:p>
    <w:p w14:paraId="7B944488" w14:textId="77777777" w:rsidR="00160E25" w:rsidRDefault="00160E25" w:rsidP="00160E25">
      <w:pPr>
        <w:spacing w:line="360" w:lineRule="auto"/>
        <w:jc w:val="left"/>
        <w:rPr>
          <w:rFonts w:cs="Times New Roman"/>
        </w:rPr>
      </w:pPr>
    </w:p>
    <w:p w14:paraId="216AD453" w14:textId="77777777" w:rsidR="00160E25" w:rsidRDefault="00160E25" w:rsidP="00160E25">
      <w:pPr>
        <w:spacing w:line="360" w:lineRule="auto"/>
        <w:jc w:val="left"/>
        <w:rPr>
          <w:rFonts w:cs="Times New Roman"/>
        </w:rPr>
      </w:pPr>
    </w:p>
    <w:p w14:paraId="780DBAF1" w14:textId="77777777" w:rsidR="00160E25" w:rsidRDefault="00160E25" w:rsidP="00160E25">
      <w:pPr>
        <w:spacing w:line="360" w:lineRule="auto"/>
        <w:jc w:val="left"/>
        <w:rPr>
          <w:rFonts w:cs="Times New Roman"/>
        </w:rPr>
      </w:pPr>
    </w:p>
    <w:p w14:paraId="7048DDCA" w14:textId="77777777" w:rsidR="00160E25" w:rsidRDefault="00160E25" w:rsidP="00160E25">
      <w:pPr>
        <w:spacing w:line="360" w:lineRule="auto"/>
        <w:jc w:val="left"/>
        <w:rPr>
          <w:rFonts w:cs="Times New Roman"/>
        </w:rPr>
      </w:pPr>
    </w:p>
    <w:p w14:paraId="3CF68822" w14:textId="77777777" w:rsidR="00160E25" w:rsidRDefault="00160E25" w:rsidP="00160E25">
      <w:pPr>
        <w:spacing w:line="360" w:lineRule="auto"/>
        <w:jc w:val="left"/>
        <w:rPr>
          <w:rFonts w:cs="Times New Roman"/>
        </w:rPr>
      </w:pPr>
    </w:p>
    <w:p w14:paraId="738EEF2F" w14:textId="77777777" w:rsidR="00160E25" w:rsidRDefault="00160E25" w:rsidP="00160E25">
      <w:pPr>
        <w:spacing w:line="360" w:lineRule="auto"/>
        <w:jc w:val="left"/>
        <w:rPr>
          <w:rFonts w:cs="Times New Roman"/>
        </w:rPr>
      </w:pPr>
    </w:p>
    <w:p w14:paraId="7C6F09D1" w14:textId="77777777" w:rsidR="00160E25" w:rsidRDefault="00160E25" w:rsidP="00160E25">
      <w:pPr>
        <w:spacing w:line="360" w:lineRule="auto"/>
        <w:jc w:val="left"/>
        <w:rPr>
          <w:rFonts w:cs="Times New Roman"/>
        </w:rPr>
      </w:pPr>
    </w:p>
    <w:p w14:paraId="71A944A0" w14:textId="77777777" w:rsidR="00160E25" w:rsidRDefault="00160E25" w:rsidP="00160E25">
      <w:pPr>
        <w:spacing w:line="360" w:lineRule="auto"/>
        <w:jc w:val="left"/>
        <w:rPr>
          <w:rFonts w:cs="Times New Roman"/>
        </w:rPr>
      </w:pPr>
    </w:p>
    <w:p w14:paraId="7F818B9E" w14:textId="77777777" w:rsidR="00160E25" w:rsidRPr="00160E25" w:rsidRDefault="00160E25" w:rsidP="00160E25">
      <w:pPr>
        <w:spacing w:line="360" w:lineRule="auto"/>
        <w:jc w:val="left"/>
        <w:rPr>
          <w:rFonts w:cs="Times New Roman"/>
        </w:rPr>
      </w:pPr>
    </w:p>
    <w:p w14:paraId="6FDF27C7" w14:textId="77777777" w:rsidR="00160E25" w:rsidRPr="00160E25" w:rsidRDefault="00160E25" w:rsidP="00160E25">
      <w:pPr>
        <w:spacing w:line="360" w:lineRule="auto"/>
        <w:jc w:val="left"/>
        <w:rPr>
          <w:rFonts w:cs="Times New Roman"/>
        </w:rPr>
      </w:pPr>
    </w:p>
    <w:p w14:paraId="1BBAACE2" w14:textId="77777777" w:rsidR="00F45786" w:rsidRPr="00160E25" w:rsidRDefault="00000000" w:rsidP="00160E25">
      <w:pPr>
        <w:pStyle w:val="Heading1"/>
        <w:spacing w:line="360" w:lineRule="auto"/>
        <w:jc w:val="left"/>
        <w:rPr>
          <w:rFonts w:ascii="Times New Roman" w:hAnsi="Times New Roman" w:cs="Times New Roman"/>
        </w:rPr>
      </w:pPr>
      <w:bookmarkStart w:id="0" w:name="_Toc228726899"/>
      <w:r w:rsidRPr="00160E25">
        <w:rPr>
          <w:rFonts w:ascii="Times New Roman" w:hAnsi="Times New Roman" w:cs="Times New Roman"/>
        </w:rPr>
        <w:lastRenderedPageBreak/>
        <w:t>1. Introduction</w:t>
      </w:r>
      <w:bookmarkEnd w:id="0"/>
    </w:p>
    <w:p w14:paraId="49E92643" w14:textId="3F2F6291" w:rsidR="00C25AF3" w:rsidRDefault="00C25AF3" w:rsidP="00160E25">
      <w:pPr>
        <w:spacing w:line="360" w:lineRule="auto"/>
        <w:rPr>
          <w:rFonts w:cs="Times New Roman"/>
        </w:rPr>
      </w:pPr>
      <w:r w:rsidRPr="00160E25">
        <w:rPr>
          <w:rFonts w:cs="Times New Roman"/>
        </w:rPr>
        <w:t xml:space="preserve">The reason USALI has survived is due to the fact that the organization addresses a thorny issue in the hotel management: The various properties offer similar services but report the departmental performance differently. The </w:t>
      </w:r>
      <w:proofErr w:type="spellStart"/>
      <w:r w:rsidRPr="00160E25">
        <w:rPr>
          <w:rFonts w:cs="Times New Roman"/>
        </w:rPr>
        <w:t>standardisation</w:t>
      </w:r>
      <w:proofErr w:type="spellEnd"/>
      <w:r w:rsidRPr="00160E25">
        <w:rPr>
          <w:rFonts w:cs="Times New Roman"/>
        </w:rPr>
        <w:t xml:space="preserve"> of lodging income statements, departmental revenues, direct expenses and operating profit, allows managers, owners and brands to make comparisons on units that are in different markets (Campa-Planas et al., 2017). As its latest 12th edition, published by Hospitality Financial and Technology Professionals (HFTP) in 2025 confirms, USALI is not a thing of the past; it is regularly updated, as the hotel revenue streams and reporting requirements, along with benchmarking practices change (HFTP, 2025). This review states that USALI can still be useful in the Tourism, Hospitality and Entertainment (THE) sectors in Singapore as it helps to promote comparability, budgeting, benchmarking and accountability of the owner-operators, yet its application cannot be applied mechanically. The analysis is concentrated on Hilton and Accor, without considering Marriott which has to be excluded.</w:t>
      </w:r>
    </w:p>
    <w:p w14:paraId="5835CD8D" w14:textId="77777777" w:rsidR="00160E25" w:rsidRPr="00160E25" w:rsidRDefault="00160E25" w:rsidP="00160E25">
      <w:pPr>
        <w:spacing w:line="360" w:lineRule="auto"/>
        <w:rPr>
          <w:rFonts w:cs="Times New Roman"/>
        </w:rPr>
      </w:pPr>
    </w:p>
    <w:p w14:paraId="52D26DE3" w14:textId="77777777" w:rsidR="00F45786" w:rsidRPr="00160E25" w:rsidRDefault="00000000" w:rsidP="00160E25">
      <w:pPr>
        <w:pStyle w:val="Heading1"/>
        <w:spacing w:line="360" w:lineRule="auto"/>
        <w:jc w:val="left"/>
        <w:rPr>
          <w:rFonts w:ascii="Times New Roman" w:hAnsi="Times New Roman" w:cs="Times New Roman"/>
        </w:rPr>
      </w:pPr>
      <w:bookmarkStart w:id="1" w:name="_Toc228726900"/>
      <w:r w:rsidRPr="00160E25">
        <w:rPr>
          <w:rFonts w:ascii="Times New Roman" w:hAnsi="Times New Roman" w:cs="Times New Roman"/>
        </w:rPr>
        <w:t>2. USALI and the Singapore THE Context</w:t>
      </w:r>
      <w:bookmarkEnd w:id="1"/>
    </w:p>
    <w:p w14:paraId="09A86F54" w14:textId="77777777" w:rsidR="001A142D" w:rsidRPr="00160E25" w:rsidRDefault="001A142D" w:rsidP="00160E25">
      <w:pPr>
        <w:spacing w:line="360" w:lineRule="auto"/>
        <w:rPr>
          <w:rFonts w:cs="Times New Roman"/>
        </w:rPr>
      </w:pPr>
      <w:r w:rsidRPr="00160E25">
        <w:rPr>
          <w:rFonts w:cs="Times New Roman"/>
        </w:rPr>
        <w:t xml:space="preserve">USALI should be viewed as a management accounting and control system as opposed to a statutory system of financial reporting. It breaks down the operations of the hotel into responsibility </w:t>
      </w:r>
      <w:proofErr w:type="spellStart"/>
      <w:r w:rsidRPr="00160E25">
        <w:rPr>
          <w:rFonts w:cs="Times New Roman"/>
        </w:rPr>
        <w:t>centres</w:t>
      </w:r>
      <w:proofErr w:type="spellEnd"/>
      <w:r w:rsidRPr="00160E25">
        <w:rPr>
          <w:rFonts w:cs="Times New Roman"/>
        </w:rPr>
        <w:t xml:space="preserve"> (particularly rooms, food and beverage and undistributed operating departments) in such a way that the operational managers are held to answerable outcomes (Campa-Planas et al., 2017). This rationale is consistent with the data that hospitality managers need to possess the powerful skills in budgets, income statements, variance analysis and forecasting to report to owners, departmental heads and other external stakeholders (Kim and Schmidgall, 2019). These functions are important in Singapore due to the international branding of hotel market, space constraints, capital intensity and high performance in the hotel market. STB is showing hotel occupancy of 81.8, ARR of S276 and RevPAR of 226 in 2024, showing a mature market where even minor changes in pricing, cost management and productivity in the departments have a significant impact on returns (Singapore Tourism Board, 2025).</w:t>
      </w:r>
    </w:p>
    <w:p w14:paraId="6077FCE3" w14:textId="13C4A859" w:rsidR="00C25AF3" w:rsidRDefault="001A142D" w:rsidP="00160E25">
      <w:pPr>
        <w:spacing w:line="360" w:lineRule="auto"/>
        <w:rPr>
          <w:rFonts w:cs="Times New Roman"/>
        </w:rPr>
      </w:pPr>
      <w:r w:rsidRPr="00160E25">
        <w:rPr>
          <w:rFonts w:cs="Times New Roman"/>
        </w:rPr>
        <w:t xml:space="preserve">The stability of the USALI is also indicative of the industry changing to rely more on the data in generating revenue. Hotel pricing is a network problem due to the ability of a room-night to be sold as a different length of stay pattern, rate and booking window (Zhang and Weatherford, 2017). USALI does not bring optimal pricing alone but provides a </w:t>
      </w:r>
      <w:proofErr w:type="spellStart"/>
      <w:r w:rsidRPr="00160E25">
        <w:rPr>
          <w:rFonts w:cs="Times New Roman"/>
        </w:rPr>
        <w:t>standardised</w:t>
      </w:r>
      <w:proofErr w:type="spellEnd"/>
      <w:r w:rsidRPr="00160E25">
        <w:rPr>
          <w:rFonts w:cs="Times New Roman"/>
        </w:rPr>
        <w:t xml:space="preserve"> reporting language, with the help of which the price can be appraised as well as the occupancy and </w:t>
      </w:r>
      <w:r w:rsidRPr="00160E25">
        <w:rPr>
          <w:rFonts w:cs="Times New Roman"/>
        </w:rPr>
        <w:lastRenderedPageBreak/>
        <w:t xml:space="preserve">departmental margins. According to </w:t>
      </w:r>
      <w:proofErr w:type="spellStart"/>
      <w:r w:rsidRPr="00160E25">
        <w:rPr>
          <w:rFonts w:cs="Times New Roman"/>
        </w:rPr>
        <w:t>standardised</w:t>
      </w:r>
      <w:proofErr w:type="spellEnd"/>
      <w:r w:rsidRPr="00160E25">
        <w:rPr>
          <w:rFonts w:cs="Times New Roman"/>
        </w:rPr>
        <w:t xml:space="preserve"> work literature, there is a common set of processes that form a starting point of continuous improvement, and still, it allows local variation to require managerial discretion (Ahmadi and Rahmani, 2023). So, it is not that USALI is popular because it removes judgement but rather it provides Singaporean hotel managers with a disciplined foundation on which to base judgement. It has also been persisting due to professional </w:t>
      </w:r>
      <w:proofErr w:type="spellStart"/>
      <w:r w:rsidRPr="00160E25">
        <w:rPr>
          <w:rFonts w:cs="Times New Roman"/>
        </w:rPr>
        <w:t>institutionalisation</w:t>
      </w:r>
      <w:proofErr w:type="spellEnd"/>
      <w:r w:rsidRPr="00160E25">
        <w:rPr>
          <w:rFonts w:cs="Times New Roman"/>
        </w:rPr>
        <w:t>: when owners, asset managers, lenders and operators get accustomed to a common format, it would be expensive to abandon it</w:t>
      </w:r>
      <w:r w:rsidR="00AE5380" w:rsidRPr="00160E25">
        <w:rPr>
          <w:rFonts w:cs="Times New Roman"/>
        </w:rPr>
        <w:t xml:space="preserve"> </w:t>
      </w:r>
      <w:r w:rsidRPr="00160E25">
        <w:rPr>
          <w:rFonts w:cs="Times New Roman"/>
        </w:rPr>
        <w:t xml:space="preserve">(Kim and Schmidgall, 2019; </w:t>
      </w:r>
      <w:proofErr w:type="spellStart"/>
      <w:r w:rsidRPr="00160E25">
        <w:rPr>
          <w:rFonts w:cs="Times New Roman"/>
        </w:rPr>
        <w:t>Seetah</w:t>
      </w:r>
      <w:proofErr w:type="spellEnd"/>
      <w:r w:rsidRPr="00160E25">
        <w:rPr>
          <w:rFonts w:cs="Times New Roman"/>
        </w:rPr>
        <w:t>, 2017).</w:t>
      </w:r>
    </w:p>
    <w:p w14:paraId="72BE5343" w14:textId="77777777" w:rsidR="00160E25" w:rsidRPr="00160E25" w:rsidRDefault="00160E25" w:rsidP="00160E25">
      <w:pPr>
        <w:spacing w:line="360" w:lineRule="auto"/>
        <w:rPr>
          <w:rFonts w:cs="Times New Roman"/>
        </w:rPr>
      </w:pPr>
    </w:p>
    <w:p w14:paraId="1941B901" w14:textId="77777777" w:rsidR="00F45786" w:rsidRPr="00160E25" w:rsidRDefault="00000000" w:rsidP="00160E25">
      <w:pPr>
        <w:pStyle w:val="Heading1"/>
        <w:spacing w:line="360" w:lineRule="auto"/>
        <w:jc w:val="left"/>
        <w:rPr>
          <w:rFonts w:ascii="Times New Roman" w:hAnsi="Times New Roman" w:cs="Times New Roman"/>
        </w:rPr>
      </w:pPr>
      <w:bookmarkStart w:id="2" w:name="_Toc228726901"/>
      <w:r w:rsidRPr="00160E25">
        <w:rPr>
          <w:rFonts w:ascii="Times New Roman" w:hAnsi="Times New Roman" w:cs="Times New Roman"/>
        </w:rPr>
        <w:t>3. Case Analysis: Hilton and Accor in Singapore</w:t>
      </w:r>
      <w:bookmarkEnd w:id="2"/>
    </w:p>
    <w:p w14:paraId="3AB94127" w14:textId="26135139" w:rsidR="005B73D9" w:rsidRPr="00160E25" w:rsidRDefault="005B73D9" w:rsidP="00160E25">
      <w:pPr>
        <w:spacing w:line="360" w:lineRule="auto"/>
        <w:rPr>
          <w:rFonts w:cs="Times New Roman"/>
        </w:rPr>
      </w:pPr>
      <w:r w:rsidRPr="00160E25">
        <w:rPr>
          <w:rFonts w:cs="Times New Roman"/>
        </w:rPr>
        <w:t xml:space="preserve">Hilton is a good example since the Hilton presence in Singapore comprises Hilton Singapore Orchard, a huge </w:t>
      </w:r>
      <w:proofErr w:type="gramStart"/>
      <w:r w:rsidRPr="00160E25">
        <w:rPr>
          <w:rFonts w:cs="Times New Roman"/>
        </w:rPr>
        <w:t>Orchard road</w:t>
      </w:r>
      <w:proofErr w:type="gramEnd"/>
      <w:r w:rsidRPr="00160E25">
        <w:rPr>
          <w:rFonts w:cs="Times New Roman"/>
        </w:rPr>
        <w:t xml:space="preserve"> property which has over 1,000 rooms, five restaurant outlets and 2,400 square </w:t>
      </w:r>
      <w:proofErr w:type="spellStart"/>
      <w:r w:rsidRPr="00160E25">
        <w:rPr>
          <w:rFonts w:cs="Times New Roman"/>
        </w:rPr>
        <w:t>metres</w:t>
      </w:r>
      <w:proofErr w:type="spellEnd"/>
      <w:r w:rsidRPr="00160E25">
        <w:rPr>
          <w:rFonts w:cs="Times New Roman"/>
        </w:rPr>
        <w:t xml:space="preserve"> of event space (Hilton, n.d.). According to the 2024 Form 10-K, Hilton manages its hotels on behalf of third-party owners and franchises its hotels under its Hilton brands through its booking channels and contracted services management and franchise segment (Hilton Worldwide Holdings Inc., 2025). No direct, public evidence was found that Hilton Singapore Orchard particularly reports under USALI. Nonetheless, the secondary evidence that can be found indicates that the USALI-type departmental reporting is the most relevant since the Hilton owner-facing model is based on performance requirements, brand standards, calculation of fees and similar operating outcomes (Hilton Worldwide Holdings Inc., 2025; Kosova and </w:t>
      </w:r>
      <w:proofErr w:type="spellStart"/>
      <w:r w:rsidRPr="00160E25">
        <w:rPr>
          <w:rFonts w:cs="Times New Roman"/>
        </w:rPr>
        <w:t>Sertsios</w:t>
      </w:r>
      <w:proofErr w:type="spellEnd"/>
      <w:r w:rsidRPr="00160E25">
        <w:rPr>
          <w:rFonts w:cs="Times New Roman"/>
        </w:rPr>
        <w:t>, 2018). In the case of such a hotel, USALI assist in an open dialogue of room profit, food and beverage contribution, undistributed expenses and incentive management outcomes (Zhang and Weatherford, 2017).</w:t>
      </w:r>
    </w:p>
    <w:p w14:paraId="1588743D" w14:textId="7005585F" w:rsidR="00C25AF3" w:rsidRDefault="005B73D9" w:rsidP="00160E25">
      <w:pPr>
        <w:spacing w:line="360" w:lineRule="auto"/>
        <w:rPr>
          <w:rFonts w:cs="Times New Roman"/>
        </w:rPr>
      </w:pPr>
      <w:r w:rsidRPr="00160E25">
        <w:rPr>
          <w:rFonts w:cs="Times New Roman"/>
        </w:rPr>
        <w:t xml:space="preserve">Accor provides another yet similar example. It has luxury, premium, midscale and economy brands across Singapore, such as Raffles Singapore, Fairmont Singapore, Swissotel </w:t>
      </w:r>
      <w:proofErr w:type="gramStart"/>
      <w:r w:rsidRPr="00160E25">
        <w:rPr>
          <w:rFonts w:cs="Times New Roman"/>
        </w:rPr>
        <w:t>The</w:t>
      </w:r>
      <w:proofErr w:type="gramEnd"/>
      <w:r w:rsidRPr="00160E25">
        <w:rPr>
          <w:rFonts w:cs="Times New Roman"/>
        </w:rPr>
        <w:t xml:space="preserve"> Stamford, Pullman, Novotel and Mercure and ibis hotels (Accor, n.d.-a). Accor lists over 45 brands and 5,800 hotels all over the world and its 2024 performance reports management and franchise revenue as one of the significant performance streams (Accor, 2025; Accor, n.d.-b). Like Hilton, there is scanty direct public evidence of the use of USALI by individual Singapore properties, but the evidence available associates Accor with the category of multinationals, multi-brand reporting environment that USALI is tailored to. The heterogeneous portfolio of Accor is a strong argument in favor of USALI since the owners and regional managers must have a performance vocabulary that is shared, yet it is also a sign of the weakness in the framework: a luxury heritage hotel and a small economy hotel cannot be rated using the same </w:t>
      </w:r>
      <w:r w:rsidRPr="00160E25">
        <w:rPr>
          <w:rFonts w:cs="Times New Roman"/>
        </w:rPr>
        <w:lastRenderedPageBreak/>
        <w:t xml:space="preserve">departmental ratios without any modifications. The </w:t>
      </w:r>
      <w:proofErr w:type="spellStart"/>
      <w:r w:rsidRPr="00160E25">
        <w:rPr>
          <w:rFonts w:cs="Times New Roman"/>
        </w:rPr>
        <w:t>standardisation</w:t>
      </w:r>
      <w:proofErr w:type="spellEnd"/>
      <w:r w:rsidRPr="00160E25">
        <w:rPr>
          <w:rFonts w:cs="Times New Roman"/>
        </w:rPr>
        <w:t xml:space="preserve">-adaptation trade-off is more evident in Accor than in Hilton Singapore flagship focus since the </w:t>
      </w:r>
      <w:proofErr w:type="spellStart"/>
      <w:r w:rsidRPr="00160E25">
        <w:rPr>
          <w:rFonts w:cs="Times New Roman"/>
        </w:rPr>
        <w:t>standardised</w:t>
      </w:r>
      <w:proofErr w:type="spellEnd"/>
      <w:r w:rsidRPr="00160E25">
        <w:rPr>
          <w:rFonts w:cs="Times New Roman"/>
        </w:rPr>
        <w:t xml:space="preserve"> reporting structure needs to accommodate properties that have vastly differing guest expectations, </w:t>
      </w:r>
      <w:proofErr w:type="spellStart"/>
      <w:r w:rsidRPr="00160E25">
        <w:rPr>
          <w:rFonts w:cs="Times New Roman"/>
        </w:rPr>
        <w:t>labour</w:t>
      </w:r>
      <w:proofErr w:type="spellEnd"/>
      <w:r w:rsidRPr="00160E25">
        <w:rPr>
          <w:rFonts w:cs="Times New Roman"/>
        </w:rPr>
        <w:t xml:space="preserve"> intensity and food and beverage profiles.</w:t>
      </w:r>
    </w:p>
    <w:p w14:paraId="39BA8261" w14:textId="77777777" w:rsidR="00160E25" w:rsidRPr="00160E25" w:rsidRDefault="00160E25" w:rsidP="00160E25">
      <w:pPr>
        <w:spacing w:line="360" w:lineRule="auto"/>
        <w:rPr>
          <w:rFonts w:cs="Times New Roman"/>
        </w:rPr>
      </w:pPr>
    </w:p>
    <w:p w14:paraId="29A68274" w14:textId="77777777" w:rsidR="00F45786" w:rsidRPr="00160E25" w:rsidRDefault="00000000" w:rsidP="00160E25">
      <w:pPr>
        <w:pStyle w:val="Heading1"/>
        <w:spacing w:line="360" w:lineRule="auto"/>
        <w:jc w:val="left"/>
        <w:rPr>
          <w:rFonts w:ascii="Times New Roman" w:hAnsi="Times New Roman" w:cs="Times New Roman"/>
        </w:rPr>
      </w:pPr>
      <w:bookmarkStart w:id="3" w:name="_Toc228726902"/>
      <w:r w:rsidRPr="00160E25">
        <w:rPr>
          <w:rFonts w:ascii="Times New Roman" w:hAnsi="Times New Roman" w:cs="Times New Roman"/>
        </w:rPr>
        <w:t>4. Advantages of a Universal Accounting Framework</w:t>
      </w:r>
      <w:bookmarkEnd w:id="3"/>
    </w:p>
    <w:p w14:paraId="2FD3B77F" w14:textId="1F9F8B37" w:rsidR="00C25AF3" w:rsidRPr="00160E25" w:rsidRDefault="0007417D" w:rsidP="00160E25">
      <w:pPr>
        <w:spacing w:line="360" w:lineRule="auto"/>
        <w:rPr>
          <w:rFonts w:cs="Times New Roman"/>
        </w:rPr>
      </w:pPr>
      <w:r w:rsidRPr="00160E25">
        <w:rPr>
          <w:rFonts w:cs="Times New Roman"/>
        </w:rPr>
        <w:t xml:space="preserve">Comparability is the greatest benefit of USALI. Benchmarking and departmental monitoring (Campa-Planas et al., 2017) are perceived as essential advantages, whereas budgets, statements and variance analysis (Kim and Schmidgall, 2019) visualize central accounting skills of lodging managers. Comparability is also desirable in Singapore since worldwide brands, domestic proprietors and asset administrators tend to haggle over RevPAR, GOP, payroll percentages and food and beverage profits and incentives. Franchise and management-contract evidence also presents the reasons why common metrics are important: hotel brands are based on formal standards, and self-enforcing contracts to minimize monitoring issues in dispersed properties (Kosova and </w:t>
      </w:r>
      <w:proofErr w:type="spellStart"/>
      <w:r w:rsidRPr="00160E25">
        <w:rPr>
          <w:rFonts w:cs="Times New Roman"/>
        </w:rPr>
        <w:t>Sertsios</w:t>
      </w:r>
      <w:proofErr w:type="spellEnd"/>
      <w:r w:rsidRPr="00160E25">
        <w:rPr>
          <w:rFonts w:cs="Times New Roman"/>
        </w:rPr>
        <w:t xml:space="preserve">, 2018). The USALI is thus in a position to minimize ambiguity in the owner-operator discussions by isolating performance that can be controlled by the departmental performance and the undistributed costs. This reasoning is backed by </w:t>
      </w:r>
      <w:proofErr w:type="spellStart"/>
      <w:r w:rsidRPr="00160E25">
        <w:rPr>
          <w:rFonts w:cs="Times New Roman"/>
        </w:rPr>
        <w:t>standardised</w:t>
      </w:r>
      <w:proofErr w:type="spellEnd"/>
      <w:r w:rsidRPr="00160E25">
        <w:rPr>
          <w:rFonts w:cs="Times New Roman"/>
        </w:rPr>
        <w:t>-work studies, which demonstrate that documented bases can be used to drive improvement, but leave managers with the option of local redesigning of exceptions (Ahmadi and Rahmani, 2023).</w:t>
      </w:r>
    </w:p>
    <w:p w14:paraId="2DB36CE8" w14:textId="34942088" w:rsidR="00F26BC5" w:rsidRDefault="00F26BC5" w:rsidP="00160E25">
      <w:pPr>
        <w:spacing w:line="360" w:lineRule="auto"/>
        <w:rPr>
          <w:rFonts w:cs="Times New Roman"/>
        </w:rPr>
      </w:pPr>
      <w:r w:rsidRPr="00160E25">
        <w:rPr>
          <w:rFonts w:cs="Times New Roman"/>
        </w:rPr>
        <w:t xml:space="preserve">Multinational coordination is also facilitated by USALI. Chou and Liao (2017) believe that multinational companies have to reconcile between global integration and local responsiveness, in the case of hotels USALI facilitates global integration by ensuring that Singapore outcomes are comparable to other nations, whereas the local managers still have the freedom to decide how to deliver services, how to allocate </w:t>
      </w:r>
      <w:proofErr w:type="spellStart"/>
      <w:r w:rsidRPr="00160E25">
        <w:rPr>
          <w:rFonts w:cs="Times New Roman"/>
        </w:rPr>
        <w:t>labour</w:t>
      </w:r>
      <w:proofErr w:type="spellEnd"/>
      <w:r w:rsidRPr="00160E25">
        <w:rPr>
          <w:rFonts w:cs="Times New Roman"/>
        </w:rPr>
        <w:t xml:space="preserve"> as well as market positioning. This framework is specifically applicable to Hilton and Accor as both of them have capital-light and owner-dependent models where third-party owners finance, sustain or utilize properties and brands furnish systems, standards and commercial platforms (Accor, 2025; Hilton Worldwide Holdings Inc., 2025). Institutional fit in this sense makes USALI a popular brand over the last hundred years: it facilitates the financial grammar of branded hotel expansion. It also contributes to investor confidence as the availability of reliable and comparable accounting information will reduce uncertainty among capital providers, especially in tourism economies where property development needs a big initial capital (</w:t>
      </w:r>
      <w:proofErr w:type="spellStart"/>
      <w:r w:rsidRPr="00160E25">
        <w:rPr>
          <w:rFonts w:cs="Times New Roman"/>
        </w:rPr>
        <w:t>Seetah</w:t>
      </w:r>
      <w:proofErr w:type="spellEnd"/>
      <w:r w:rsidRPr="00160E25">
        <w:rPr>
          <w:rFonts w:cs="Times New Roman"/>
        </w:rPr>
        <w:t>, 2017).</w:t>
      </w:r>
    </w:p>
    <w:p w14:paraId="45702721" w14:textId="77777777" w:rsidR="00160E25" w:rsidRPr="00160E25" w:rsidRDefault="00160E25" w:rsidP="00160E25">
      <w:pPr>
        <w:spacing w:line="360" w:lineRule="auto"/>
        <w:rPr>
          <w:rFonts w:cs="Times New Roman"/>
        </w:rPr>
      </w:pPr>
    </w:p>
    <w:p w14:paraId="18DD7BB8" w14:textId="77777777" w:rsidR="00F45786" w:rsidRPr="00160E25" w:rsidRDefault="00000000" w:rsidP="00160E25">
      <w:pPr>
        <w:pStyle w:val="Heading1"/>
        <w:spacing w:line="360" w:lineRule="auto"/>
        <w:jc w:val="left"/>
        <w:rPr>
          <w:rFonts w:ascii="Times New Roman" w:hAnsi="Times New Roman" w:cs="Times New Roman"/>
        </w:rPr>
      </w:pPr>
      <w:bookmarkStart w:id="4" w:name="_Toc228726903"/>
      <w:r w:rsidRPr="00160E25">
        <w:rPr>
          <w:rFonts w:ascii="Times New Roman" w:hAnsi="Times New Roman" w:cs="Times New Roman"/>
        </w:rPr>
        <w:lastRenderedPageBreak/>
        <w:t>5. Problems, Limitations and Tensions</w:t>
      </w:r>
      <w:bookmarkEnd w:id="4"/>
    </w:p>
    <w:p w14:paraId="1C7EDFF6" w14:textId="77777777" w:rsidR="0067165B" w:rsidRPr="00160E25" w:rsidRDefault="0067165B" w:rsidP="00160E25">
      <w:pPr>
        <w:spacing w:line="360" w:lineRule="auto"/>
        <w:rPr>
          <w:rFonts w:cs="Times New Roman"/>
        </w:rPr>
      </w:pPr>
      <w:r w:rsidRPr="00160E25">
        <w:rPr>
          <w:rFonts w:cs="Times New Roman"/>
        </w:rPr>
        <w:t>The greatest weakness is that, although USALI promises uniformity, this is only partially done in practice. Campa-Planas et al. (2017) discovered that there was a lot of heterogeneity in the application of the USALI by hotels particularly in terms of revenue allocation and departmental classification. This is significant in Singapore since THE operators comprise of airport hotels, luxury resorts, integrated resorts, serviced residences, restaurants, attractions and event venues. USALI is accommodation-focused; it is able to serve hotels that have restaurants, and events but it is not as comprehensive to entertainment-based or hybrid business where revenue packages include accommodation, game-like attractions, retail, MICE and experiential services. As a result, benchmarking can be deceptive when the users relate the unlike properties just because of the similarities in headings within the reports. This poses a grave threat in Singapore where the performance comparison could cross business hotels in CBDs, Sentosa resorts, airport transit hotels and lifestyle properties which are related to entertainment demand.</w:t>
      </w:r>
    </w:p>
    <w:p w14:paraId="4A62B08B" w14:textId="77777777" w:rsidR="0067165B" w:rsidRPr="00160E25" w:rsidRDefault="0067165B" w:rsidP="00160E25">
      <w:pPr>
        <w:spacing w:line="360" w:lineRule="auto"/>
        <w:rPr>
          <w:rFonts w:cs="Times New Roman"/>
        </w:rPr>
      </w:pPr>
      <w:r w:rsidRPr="00160E25">
        <w:rPr>
          <w:rFonts w:cs="Times New Roman"/>
        </w:rPr>
        <w:t xml:space="preserve">The second conflict is like the conflict of culture and management style. The international hotel chains prefer international controls whereas Singapore operations also incorporate local </w:t>
      </w:r>
      <w:proofErr w:type="spellStart"/>
      <w:r w:rsidRPr="00160E25">
        <w:rPr>
          <w:rFonts w:cs="Times New Roman"/>
        </w:rPr>
        <w:t>labour</w:t>
      </w:r>
      <w:proofErr w:type="spellEnd"/>
      <w:r w:rsidRPr="00160E25">
        <w:rPr>
          <w:rFonts w:cs="Times New Roman"/>
        </w:rPr>
        <w:t xml:space="preserve"> regulations, multicultural service expectations, government discipline in planning and severe land limitations. The Crowne Plaza Changi Airport extension is an example of how the Singapore hotel development may be influenced by the continuity of operation, limitation of construction, governmental approval and the inventive modular approach (Whitfield et al., 2022). USALI has the ability to report the outcomes of such decisions, but it is not able to completely describe it. Equally, </w:t>
      </w:r>
      <w:proofErr w:type="spellStart"/>
      <w:r w:rsidRPr="00160E25">
        <w:rPr>
          <w:rFonts w:cs="Times New Roman"/>
        </w:rPr>
        <w:t>standardisation</w:t>
      </w:r>
      <w:proofErr w:type="spellEnd"/>
      <w:r w:rsidRPr="00160E25">
        <w:rPr>
          <w:rFonts w:cs="Times New Roman"/>
        </w:rPr>
        <w:t xml:space="preserve"> is not necessarily a good way of enhancing the quality of services. Chang et al. (2021) determined that international tourist hotels had a higher rate of innovation </w:t>
      </w:r>
      <w:proofErr w:type="spellStart"/>
      <w:r w:rsidRPr="00160E25">
        <w:rPr>
          <w:rFonts w:cs="Times New Roman"/>
        </w:rPr>
        <w:t>behaviour</w:t>
      </w:r>
      <w:proofErr w:type="spellEnd"/>
      <w:r w:rsidRPr="00160E25">
        <w:rPr>
          <w:rFonts w:cs="Times New Roman"/>
        </w:rPr>
        <w:t xml:space="preserve"> compared to rigid job </w:t>
      </w:r>
      <w:proofErr w:type="spellStart"/>
      <w:r w:rsidRPr="00160E25">
        <w:rPr>
          <w:rFonts w:cs="Times New Roman"/>
        </w:rPr>
        <w:t>standardisation</w:t>
      </w:r>
      <w:proofErr w:type="spellEnd"/>
      <w:r w:rsidRPr="00160E25">
        <w:rPr>
          <w:rFonts w:cs="Times New Roman"/>
        </w:rPr>
        <w:t xml:space="preserve"> and standard hotels had higher rate of </w:t>
      </w:r>
      <w:proofErr w:type="spellStart"/>
      <w:r w:rsidRPr="00160E25">
        <w:rPr>
          <w:rFonts w:cs="Times New Roman"/>
        </w:rPr>
        <w:t>standardised</w:t>
      </w:r>
      <w:proofErr w:type="spellEnd"/>
      <w:r w:rsidRPr="00160E25">
        <w:rPr>
          <w:rFonts w:cs="Times New Roman"/>
        </w:rPr>
        <w:t xml:space="preserve"> work compared to innovation </w:t>
      </w:r>
      <w:proofErr w:type="spellStart"/>
      <w:r w:rsidRPr="00160E25">
        <w:rPr>
          <w:rFonts w:cs="Times New Roman"/>
        </w:rPr>
        <w:t>behaviour</w:t>
      </w:r>
      <w:proofErr w:type="spellEnd"/>
      <w:r w:rsidRPr="00160E25">
        <w:rPr>
          <w:rFonts w:cs="Times New Roman"/>
        </w:rPr>
        <w:t>. This difference gives a warning against applying USALI to impose one operating logic to all the properties in Singapore.</w:t>
      </w:r>
    </w:p>
    <w:p w14:paraId="471B93FF" w14:textId="77777777" w:rsidR="0067165B" w:rsidRPr="00160E25" w:rsidRDefault="0067165B" w:rsidP="00160E25">
      <w:pPr>
        <w:spacing w:line="360" w:lineRule="auto"/>
        <w:rPr>
          <w:rFonts w:cs="Times New Roman"/>
        </w:rPr>
      </w:pPr>
      <w:r w:rsidRPr="00160E25">
        <w:rPr>
          <w:rFonts w:cs="Times New Roman"/>
        </w:rPr>
        <w:t xml:space="preserve">Third, USALI may make less emphasis on the strategic issues that are not strictly departmental. One such is </w:t>
      </w:r>
      <w:proofErr w:type="spellStart"/>
      <w:r w:rsidRPr="00160E25">
        <w:rPr>
          <w:rFonts w:cs="Times New Roman"/>
        </w:rPr>
        <w:t>labour</w:t>
      </w:r>
      <w:proofErr w:type="spellEnd"/>
      <w:r w:rsidRPr="00160E25">
        <w:rPr>
          <w:rFonts w:cs="Times New Roman"/>
        </w:rPr>
        <w:t xml:space="preserve"> pressure. Agarwal et al. (2024) demonstrate that wage shocks have varied impacts on the performance of hotels based on the level of quality and the </w:t>
      </w:r>
      <w:proofErr w:type="spellStart"/>
      <w:r w:rsidRPr="00160E25">
        <w:rPr>
          <w:rFonts w:cs="Times New Roman"/>
        </w:rPr>
        <w:t>organisational</w:t>
      </w:r>
      <w:proofErr w:type="spellEnd"/>
      <w:r w:rsidRPr="00160E25">
        <w:rPr>
          <w:rFonts w:cs="Times New Roman"/>
        </w:rPr>
        <w:t xml:space="preserve"> form, that is, ratios of </w:t>
      </w:r>
      <w:proofErr w:type="spellStart"/>
      <w:r w:rsidRPr="00160E25">
        <w:rPr>
          <w:rFonts w:cs="Times New Roman"/>
        </w:rPr>
        <w:t>labour</w:t>
      </w:r>
      <w:proofErr w:type="spellEnd"/>
      <w:r w:rsidRPr="00160E25">
        <w:rPr>
          <w:rFonts w:cs="Times New Roman"/>
        </w:rPr>
        <w:t xml:space="preserve"> cannot be used outside the context of the segments. The quality of the accounting is another aspect: </w:t>
      </w:r>
      <w:proofErr w:type="spellStart"/>
      <w:r w:rsidRPr="00160E25">
        <w:rPr>
          <w:rFonts w:cs="Times New Roman"/>
        </w:rPr>
        <w:t>Seetah</w:t>
      </w:r>
      <w:proofErr w:type="spellEnd"/>
      <w:r w:rsidRPr="00160E25">
        <w:rPr>
          <w:rFonts w:cs="Times New Roman"/>
        </w:rPr>
        <w:t xml:space="preserve"> (2017) correlates high-quality information in hospitality accounting with investor confidence, but also demonstrates how the information in reports can be skewed due to the crisis conditions. USALI enhances internal consistency, without ensuring </w:t>
      </w:r>
      <w:r w:rsidRPr="00160E25">
        <w:rPr>
          <w:rFonts w:cs="Times New Roman"/>
        </w:rPr>
        <w:lastRenderedPageBreak/>
        <w:t>economic truth in cases where managers are defensive in their use of classifications or when external shocks take over operations.</w:t>
      </w:r>
    </w:p>
    <w:p w14:paraId="1A5AA4F0" w14:textId="08096CC4" w:rsidR="00F26BC5" w:rsidRDefault="0067165B" w:rsidP="00160E25">
      <w:pPr>
        <w:spacing w:line="360" w:lineRule="auto"/>
        <w:rPr>
          <w:rFonts w:cs="Times New Roman"/>
        </w:rPr>
      </w:pPr>
      <w:r w:rsidRPr="00160E25">
        <w:rPr>
          <w:rFonts w:cs="Times New Roman"/>
        </w:rPr>
        <w:t xml:space="preserve">Lastly, universal frameworks may be become inflexible. Kellner (2017) demonstrates that in cases where there is a difference between the priorities of the franchisor and the unit, </w:t>
      </w:r>
      <w:proofErr w:type="spellStart"/>
      <w:r w:rsidRPr="00160E25">
        <w:rPr>
          <w:rFonts w:cs="Times New Roman"/>
        </w:rPr>
        <w:t>standardisation</w:t>
      </w:r>
      <w:proofErr w:type="spellEnd"/>
      <w:r w:rsidRPr="00160E25">
        <w:rPr>
          <w:rFonts w:cs="Times New Roman"/>
        </w:rPr>
        <w:t xml:space="preserve"> in franchise systems can be at odds with the local adaptation. On a larger scale, design research cautions against the </w:t>
      </w:r>
      <w:proofErr w:type="spellStart"/>
      <w:r w:rsidRPr="00160E25">
        <w:rPr>
          <w:rFonts w:cs="Times New Roman"/>
        </w:rPr>
        <w:t>utilisation</w:t>
      </w:r>
      <w:proofErr w:type="spellEnd"/>
      <w:r w:rsidRPr="00160E25">
        <w:rPr>
          <w:rFonts w:cs="Times New Roman"/>
        </w:rPr>
        <w:t xml:space="preserve"> of useful tools, which have to strike a balance between </w:t>
      </w:r>
      <w:proofErr w:type="spellStart"/>
      <w:r w:rsidRPr="00160E25">
        <w:rPr>
          <w:rFonts w:cs="Times New Roman"/>
        </w:rPr>
        <w:t>standardised</w:t>
      </w:r>
      <w:proofErr w:type="spellEnd"/>
      <w:r w:rsidRPr="00160E25">
        <w:rPr>
          <w:rFonts w:cs="Times New Roman"/>
        </w:rPr>
        <w:t xml:space="preserve"> structures and </w:t>
      </w:r>
      <w:proofErr w:type="spellStart"/>
      <w:r w:rsidRPr="00160E25">
        <w:rPr>
          <w:rFonts w:cs="Times New Roman"/>
        </w:rPr>
        <w:t>customisation</w:t>
      </w:r>
      <w:proofErr w:type="spellEnd"/>
      <w:r w:rsidRPr="00160E25">
        <w:rPr>
          <w:rFonts w:cs="Times New Roman"/>
        </w:rPr>
        <w:t xml:space="preserve"> (</w:t>
      </w:r>
      <w:proofErr w:type="spellStart"/>
      <w:r w:rsidRPr="00160E25">
        <w:rPr>
          <w:rFonts w:cs="Times New Roman"/>
        </w:rPr>
        <w:t>Schoormann</w:t>
      </w:r>
      <w:proofErr w:type="spellEnd"/>
      <w:r w:rsidRPr="00160E25">
        <w:rPr>
          <w:rFonts w:cs="Times New Roman"/>
        </w:rPr>
        <w:t xml:space="preserve"> et al., 2024). In the case of Singaporean THE industry, it is not that the USALI is overly detailed, but that it is used by users as a set of neutral facts, as opposed to a set of managerial decisions.</w:t>
      </w:r>
    </w:p>
    <w:p w14:paraId="3409A029" w14:textId="77777777" w:rsidR="00160E25" w:rsidRPr="00160E25" w:rsidRDefault="00160E25" w:rsidP="00160E25">
      <w:pPr>
        <w:spacing w:line="360" w:lineRule="auto"/>
        <w:rPr>
          <w:rFonts w:cs="Times New Roman"/>
        </w:rPr>
      </w:pPr>
    </w:p>
    <w:p w14:paraId="7871475E" w14:textId="77777777" w:rsidR="00F45786" w:rsidRPr="00160E25" w:rsidRDefault="00000000" w:rsidP="00160E25">
      <w:pPr>
        <w:pStyle w:val="Heading1"/>
        <w:spacing w:line="360" w:lineRule="auto"/>
        <w:jc w:val="left"/>
        <w:rPr>
          <w:rFonts w:ascii="Times New Roman" w:hAnsi="Times New Roman" w:cs="Times New Roman"/>
        </w:rPr>
      </w:pPr>
      <w:bookmarkStart w:id="5" w:name="_Toc228726904"/>
      <w:r w:rsidRPr="00160E25">
        <w:rPr>
          <w:rFonts w:ascii="Times New Roman" w:hAnsi="Times New Roman" w:cs="Times New Roman"/>
        </w:rPr>
        <w:t>6. Reflective Critical Discussion and Conclusion</w:t>
      </w:r>
      <w:bookmarkEnd w:id="5"/>
    </w:p>
    <w:p w14:paraId="1E4C4461" w14:textId="40C09F1A" w:rsidR="00F26BC5" w:rsidRPr="00160E25" w:rsidRDefault="00362C00" w:rsidP="00160E25">
      <w:pPr>
        <w:spacing w:line="360" w:lineRule="auto"/>
        <w:rPr>
          <w:rFonts w:cs="Times New Roman"/>
        </w:rPr>
      </w:pPr>
      <w:r w:rsidRPr="00160E25">
        <w:rPr>
          <w:rFonts w:cs="Times New Roman"/>
        </w:rPr>
        <w:t xml:space="preserve">This review proposes that USALI has enjoyed popularity since more than 100 years since it transforms a complicated hotel into a tamed set of similar responsibility </w:t>
      </w:r>
      <w:proofErr w:type="spellStart"/>
      <w:r w:rsidRPr="00160E25">
        <w:rPr>
          <w:rFonts w:cs="Times New Roman"/>
        </w:rPr>
        <w:t>centres</w:t>
      </w:r>
      <w:proofErr w:type="spellEnd"/>
      <w:r w:rsidRPr="00160E25">
        <w:rPr>
          <w:rFonts w:cs="Times New Roman"/>
        </w:rPr>
        <w:t xml:space="preserve">. This proves to be of great value in Singapore where international brands like Hilton and Accor are involved in their activities where owner reporting, regional benchmarking, management contracts, brand standards and multi-property accountability is central to their operation. The future of the framework on the 12th edition however, will be subject to critical interpretation. USALI is not to replace the strategic judgement but to be a common accounting language. Its greatest strength lies in the hotels which require similar departmental reporting; the most vulnerable aspect is the heterogeneous THE business where the experience of service, sustainability, and digital channels, and bundled revenues and the local operating constraints, are beyond the traditional lodging template. An application that is sufficiently mature in Singapore should thus take on the discipline of USALI with a managerial explanation with a local touch so that </w:t>
      </w:r>
      <w:proofErr w:type="spellStart"/>
      <w:r w:rsidRPr="00160E25">
        <w:rPr>
          <w:rFonts w:cs="Times New Roman"/>
        </w:rPr>
        <w:t>standardisation</w:t>
      </w:r>
      <w:proofErr w:type="spellEnd"/>
      <w:r w:rsidRPr="00160E25">
        <w:rPr>
          <w:rFonts w:cs="Times New Roman"/>
        </w:rPr>
        <w:t xml:space="preserve"> will enable informed decision-making and not inhibit it. </w:t>
      </w:r>
      <w:r w:rsidR="00065242" w:rsidRPr="00160E25">
        <w:rPr>
          <w:rFonts w:cs="Times New Roman"/>
        </w:rPr>
        <w:t>O</w:t>
      </w:r>
      <w:r w:rsidRPr="00160E25">
        <w:rPr>
          <w:rFonts w:cs="Times New Roman"/>
        </w:rPr>
        <w:t>nly when the managers question the numbers and justify differences in contexts, and adapt the framework to new sources of value without losing comparability would it be powerful.</w:t>
      </w:r>
    </w:p>
    <w:p w14:paraId="38DD9FE0" w14:textId="77777777" w:rsidR="00F26BC5" w:rsidRPr="00160E25" w:rsidRDefault="00F26BC5" w:rsidP="00160E25">
      <w:pPr>
        <w:spacing w:line="360" w:lineRule="auto"/>
        <w:rPr>
          <w:rFonts w:cs="Times New Roman"/>
        </w:rPr>
      </w:pPr>
    </w:p>
    <w:p w14:paraId="43DCC9CA" w14:textId="77777777" w:rsidR="00F26BC5" w:rsidRPr="00160E25" w:rsidRDefault="00F26BC5" w:rsidP="00160E25">
      <w:pPr>
        <w:spacing w:line="360" w:lineRule="auto"/>
        <w:rPr>
          <w:rFonts w:cs="Times New Roman"/>
        </w:rPr>
      </w:pPr>
    </w:p>
    <w:p w14:paraId="7DE6DBCD" w14:textId="77777777" w:rsidR="00F26BC5" w:rsidRPr="00160E25" w:rsidRDefault="00F26BC5" w:rsidP="00160E25">
      <w:pPr>
        <w:spacing w:line="360" w:lineRule="auto"/>
        <w:rPr>
          <w:rFonts w:cs="Times New Roman"/>
        </w:rPr>
      </w:pPr>
    </w:p>
    <w:p w14:paraId="2404E3B8" w14:textId="77777777" w:rsidR="00F26BC5" w:rsidRPr="00160E25" w:rsidRDefault="00F26BC5" w:rsidP="00160E25">
      <w:pPr>
        <w:spacing w:line="360" w:lineRule="auto"/>
        <w:rPr>
          <w:rFonts w:cs="Times New Roman"/>
        </w:rPr>
      </w:pPr>
    </w:p>
    <w:p w14:paraId="388AEAE9" w14:textId="77777777" w:rsidR="00F26BC5" w:rsidRPr="00160E25" w:rsidRDefault="00F26BC5" w:rsidP="00160E25">
      <w:pPr>
        <w:spacing w:line="360" w:lineRule="auto"/>
        <w:rPr>
          <w:rFonts w:cs="Times New Roman"/>
        </w:rPr>
      </w:pPr>
    </w:p>
    <w:p w14:paraId="74AD2D19" w14:textId="77777777" w:rsidR="00F26BC5" w:rsidRPr="00160E25" w:rsidRDefault="00F26BC5" w:rsidP="00160E25">
      <w:pPr>
        <w:spacing w:line="360" w:lineRule="auto"/>
        <w:rPr>
          <w:rFonts w:cs="Times New Roman"/>
        </w:rPr>
      </w:pPr>
    </w:p>
    <w:p w14:paraId="16FBFF50" w14:textId="32A81F7B" w:rsidR="00F45786" w:rsidRPr="00160E25" w:rsidRDefault="00000000" w:rsidP="00160E25">
      <w:pPr>
        <w:pStyle w:val="Heading1"/>
        <w:spacing w:line="360" w:lineRule="auto"/>
        <w:rPr>
          <w:rFonts w:ascii="Times New Roman" w:hAnsi="Times New Roman" w:cs="Times New Roman"/>
        </w:rPr>
      </w:pPr>
      <w:bookmarkStart w:id="6" w:name="_Toc228726905"/>
      <w:r w:rsidRPr="00160E25">
        <w:rPr>
          <w:rFonts w:ascii="Times New Roman" w:hAnsi="Times New Roman" w:cs="Times New Roman"/>
        </w:rPr>
        <w:lastRenderedPageBreak/>
        <w:t>References</w:t>
      </w:r>
      <w:bookmarkEnd w:id="6"/>
    </w:p>
    <w:p w14:paraId="3A5EE066" w14:textId="77777777" w:rsidR="00160E25" w:rsidRPr="00160E25" w:rsidRDefault="00160E25" w:rsidP="00160E25">
      <w:pPr>
        <w:spacing w:line="360" w:lineRule="auto"/>
        <w:jc w:val="left"/>
        <w:rPr>
          <w:rFonts w:cs="Times New Roman"/>
        </w:rPr>
      </w:pPr>
      <w:r w:rsidRPr="00160E25">
        <w:rPr>
          <w:rFonts w:cs="Times New Roman"/>
        </w:rPr>
        <w:t xml:space="preserve">Accor. (2025, February 20). </w:t>
      </w:r>
      <w:r w:rsidRPr="00160E25">
        <w:rPr>
          <w:rFonts w:cs="Times New Roman"/>
          <w:i/>
          <w:iCs/>
        </w:rPr>
        <w:t>Full-year 2024 results</w:t>
      </w:r>
      <w:r w:rsidRPr="00160E25">
        <w:rPr>
          <w:rFonts w:cs="Times New Roman"/>
        </w:rPr>
        <w:t xml:space="preserve">. </w:t>
      </w:r>
      <w:hyperlink r:id="rId8" w:tgtFrame="_new" w:history="1">
        <w:r w:rsidRPr="00160E25">
          <w:rPr>
            <w:rStyle w:val="Hyperlink"/>
            <w:rFonts w:cs="Times New Roman"/>
          </w:rPr>
          <w:t>https://assets.group.accor.com/yrj0orc8tx24/2C96SdNfIPR</w:t>
        </w:r>
        <w:r w:rsidRPr="00160E25">
          <w:rPr>
            <w:rStyle w:val="Hyperlink"/>
            <w:rFonts w:cs="Times New Roman"/>
          </w:rPr>
          <w:t>x</w:t>
        </w:r>
        <w:r w:rsidRPr="00160E25">
          <w:rPr>
            <w:rStyle w:val="Hyperlink"/>
            <w:rFonts w:cs="Times New Roman"/>
          </w:rPr>
          <w:t>qrfPEnrqBW/e9fa4eb73b66041a8c7838c45c45743d/blockchained_FY_24_PR_vDef.pdf</w:t>
        </w:r>
      </w:hyperlink>
    </w:p>
    <w:p w14:paraId="64D38D75" w14:textId="77777777" w:rsidR="00160E25" w:rsidRPr="00160E25" w:rsidRDefault="00160E25" w:rsidP="00160E25">
      <w:pPr>
        <w:spacing w:line="360" w:lineRule="auto"/>
        <w:jc w:val="left"/>
        <w:rPr>
          <w:rFonts w:cs="Times New Roman"/>
        </w:rPr>
      </w:pPr>
      <w:r w:rsidRPr="00160E25">
        <w:rPr>
          <w:rFonts w:cs="Times New Roman"/>
        </w:rPr>
        <w:t xml:space="preserve">Accor. (n.d.-a). </w:t>
      </w:r>
      <w:r w:rsidRPr="00160E25">
        <w:rPr>
          <w:rFonts w:cs="Times New Roman"/>
          <w:i/>
          <w:iCs/>
        </w:rPr>
        <w:t>Hotels in Singapore: Book at the best rate with ALL.com</w:t>
      </w:r>
      <w:r w:rsidRPr="00160E25">
        <w:rPr>
          <w:rFonts w:cs="Times New Roman"/>
        </w:rPr>
        <w:t xml:space="preserve">. Retrieved May 2, 2026, from </w:t>
      </w:r>
      <w:hyperlink r:id="rId9" w:tgtFrame="_new" w:history="1">
        <w:r w:rsidRPr="00160E25">
          <w:rPr>
            <w:rStyle w:val="Hyperlink"/>
            <w:rFonts w:cs="Times New Roman"/>
          </w:rPr>
          <w:t>https://all.accor.com/a/en/destination/city/hotels-singapore-v5579.html</w:t>
        </w:r>
      </w:hyperlink>
    </w:p>
    <w:p w14:paraId="22E6AAA1" w14:textId="77777777" w:rsidR="00160E25" w:rsidRPr="00160E25" w:rsidRDefault="00160E25" w:rsidP="00160E25">
      <w:pPr>
        <w:spacing w:line="360" w:lineRule="auto"/>
        <w:jc w:val="left"/>
        <w:rPr>
          <w:rFonts w:cs="Times New Roman"/>
        </w:rPr>
      </w:pPr>
      <w:r w:rsidRPr="00160E25">
        <w:rPr>
          <w:rFonts w:cs="Times New Roman"/>
        </w:rPr>
        <w:t xml:space="preserve">Accor. (n.d.-b). </w:t>
      </w:r>
      <w:r w:rsidRPr="00160E25">
        <w:rPr>
          <w:rFonts w:cs="Times New Roman"/>
          <w:i/>
          <w:iCs/>
        </w:rPr>
        <w:t>Accor Group</w:t>
      </w:r>
      <w:r w:rsidRPr="00160E25">
        <w:rPr>
          <w:rFonts w:cs="Times New Roman"/>
        </w:rPr>
        <w:t xml:space="preserve">. Retrieved May 2, 2026, from </w:t>
      </w:r>
      <w:hyperlink r:id="rId10" w:tgtFrame="_new" w:history="1">
        <w:r w:rsidRPr="00160E25">
          <w:rPr>
            <w:rStyle w:val="Hyperlink"/>
            <w:rFonts w:cs="Times New Roman"/>
          </w:rPr>
          <w:t>https://group.accor.com/en</w:t>
        </w:r>
      </w:hyperlink>
    </w:p>
    <w:p w14:paraId="062CB643" w14:textId="77777777" w:rsidR="00160E25" w:rsidRPr="00160E25" w:rsidRDefault="00160E25" w:rsidP="00160E25">
      <w:pPr>
        <w:spacing w:line="360" w:lineRule="auto"/>
        <w:jc w:val="left"/>
        <w:rPr>
          <w:rFonts w:cs="Times New Roman"/>
        </w:rPr>
      </w:pPr>
      <w:r w:rsidRPr="00160E25">
        <w:rPr>
          <w:rFonts w:cs="Times New Roman"/>
        </w:rPr>
        <w:t xml:space="preserve">Agarwal, S., Ayyagari, M., &amp; Kosová, R. (2024). Minimum wage increases and employer performance: Role of employer heterogeneity. </w:t>
      </w:r>
      <w:r w:rsidRPr="00160E25">
        <w:rPr>
          <w:rFonts w:cs="Times New Roman"/>
          <w:i/>
          <w:iCs/>
        </w:rPr>
        <w:t>Management Science, 70</w:t>
      </w:r>
      <w:r w:rsidRPr="00160E25">
        <w:rPr>
          <w:rFonts w:cs="Times New Roman"/>
        </w:rPr>
        <w:t xml:space="preserve">(1), 225–254. </w:t>
      </w:r>
      <w:hyperlink r:id="rId11" w:tgtFrame="_new" w:history="1">
        <w:r w:rsidRPr="00160E25">
          <w:rPr>
            <w:rStyle w:val="Hyperlink"/>
            <w:rFonts w:cs="Times New Roman"/>
          </w:rPr>
          <w:t>https://doi.org/10.1287/mnsc.2022.4650</w:t>
        </w:r>
      </w:hyperlink>
    </w:p>
    <w:p w14:paraId="7C58DEA9" w14:textId="77777777" w:rsidR="00160E25" w:rsidRPr="00160E25" w:rsidRDefault="00160E25" w:rsidP="00160E25">
      <w:pPr>
        <w:spacing w:line="360" w:lineRule="auto"/>
        <w:jc w:val="left"/>
        <w:rPr>
          <w:rFonts w:cs="Times New Roman"/>
        </w:rPr>
      </w:pPr>
      <w:r w:rsidRPr="00160E25">
        <w:rPr>
          <w:rFonts w:cs="Times New Roman"/>
        </w:rPr>
        <w:t xml:space="preserve">Ahmadi, T., &amp; Rahmani, N. (2023). How to develop standardized work for business processes in the transactional office environment. </w:t>
      </w:r>
      <w:r w:rsidRPr="00160E25">
        <w:rPr>
          <w:rFonts w:cs="Times New Roman"/>
          <w:i/>
          <w:iCs/>
        </w:rPr>
        <w:t>Total Quality Management, 34</w:t>
      </w:r>
      <w:r w:rsidRPr="00160E25">
        <w:rPr>
          <w:rFonts w:cs="Times New Roman"/>
        </w:rPr>
        <w:t xml:space="preserve">(13), 1719–1732. </w:t>
      </w:r>
      <w:hyperlink r:id="rId12" w:tgtFrame="_new" w:history="1">
        <w:r w:rsidRPr="00160E25">
          <w:rPr>
            <w:rStyle w:val="Hyperlink"/>
            <w:rFonts w:cs="Times New Roman"/>
          </w:rPr>
          <w:t>https://doi.org/10.1080/14783363.2023.2203377</w:t>
        </w:r>
      </w:hyperlink>
    </w:p>
    <w:p w14:paraId="7862EDAE" w14:textId="77777777" w:rsidR="00160E25" w:rsidRPr="00160E25" w:rsidRDefault="00160E25" w:rsidP="00160E25">
      <w:pPr>
        <w:spacing w:line="360" w:lineRule="auto"/>
        <w:jc w:val="left"/>
        <w:rPr>
          <w:rFonts w:cs="Times New Roman"/>
        </w:rPr>
      </w:pPr>
      <w:r w:rsidRPr="00160E25">
        <w:rPr>
          <w:rFonts w:cs="Times New Roman"/>
        </w:rPr>
        <w:t xml:space="preserve">Campa-Planas, F., </w:t>
      </w:r>
      <w:proofErr w:type="spellStart"/>
      <w:r w:rsidRPr="00160E25">
        <w:rPr>
          <w:rFonts w:cs="Times New Roman"/>
        </w:rPr>
        <w:t>Banchieri</w:t>
      </w:r>
      <w:proofErr w:type="spellEnd"/>
      <w:r w:rsidRPr="00160E25">
        <w:rPr>
          <w:rFonts w:cs="Times New Roman"/>
        </w:rPr>
        <w:t xml:space="preserve">, L.-C., &amp; Kalemba, N. (2017). A study of the uniformity of the USALI methodology in Spain and Catalonia. </w:t>
      </w:r>
      <w:r w:rsidRPr="00160E25">
        <w:rPr>
          <w:rFonts w:cs="Times New Roman"/>
          <w:i/>
          <w:iCs/>
        </w:rPr>
        <w:t>Tourism, 65</w:t>
      </w:r>
      <w:r w:rsidRPr="00160E25">
        <w:rPr>
          <w:rFonts w:cs="Times New Roman"/>
        </w:rPr>
        <w:t>(2), 204–217.</w:t>
      </w:r>
    </w:p>
    <w:p w14:paraId="064528D2" w14:textId="77777777" w:rsidR="00160E25" w:rsidRPr="00160E25" w:rsidRDefault="00160E25" w:rsidP="00160E25">
      <w:pPr>
        <w:spacing w:line="360" w:lineRule="auto"/>
        <w:jc w:val="left"/>
        <w:rPr>
          <w:rFonts w:cs="Times New Roman"/>
        </w:rPr>
      </w:pPr>
      <w:r w:rsidRPr="00160E25">
        <w:rPr>
          <w:rFonts w:cs="Times New Roman"/>
        </w:rPr>
        <w:t xml:space="preserve">Chang, H.-T., Chou, Y.-J., Miao, M.-C., &amp; Liou, J.-W. (2021). The effects of leadership style on service quality: Enrichment or depletion of innovation </w:t>
      </w:r>
      <w:proofErr w:type="spellStart"/>
      <w:r w:rsidRPr="00160E25">
        <w:rPr>
          <w:rFonts w:cs="Times New Roman"/>
        </w:rPr>
        <w:t>behaviour</w:t>
      </w:r>
      <w:proofErr w:type="spellEnd"/>
      <w:r w:rsidRPr="00160E25">
        <w:rPr>
          <w:rFonts w:cs="Times New Roman"/>
        </w:rPr>
        <w:t xml:space="preserve"> and job </w:t>
      </w:r>
      <w:proofErr w:type="spellStart"/>
      <w:r w:rsidRPr="00160E25">
        <w:rPr>
          <w:rFonts w:cs="Times New Roman"/>
        </w:rPr>
        <w:t>standardisation</w:t>
      </w:r>
      <w:proofErr w:type="spellEnd"/>
      <w:r w:rsidRPr="00160E25">
        <w:rPr>
          <w:rFonts w:cs="Times New Roman"/>
        </w:rPr>
        <w:t xml:space="preserve">. </w:t>
      </w:r>
      <w:r w:rsidRPr="00160E25">
        <w:rPr>
          <w:rFonts w:cs="Times New Roman"/>
          <w:i/>
          <w:iCs/>
        </w:rPr>
        <w:t>Total Quality Management &amp; Business Excellence, 32</w:t>
      </w:r>
      <w:r w:rsidRPr="00160E25">
        <w:rPr>
          <w:rFonts w:cs="Times New Roman"/>
        </w:rPr>
        <w:t xml:space="preserve">(5/6), 676–692. </w:t>
      </w:r>
      <w:hyperlink r:id="rId13" w:tgtFrame="_new" w:history="1">
        <w:r w:rsidRPr="00160E25">
          <w:rPr>
            <w:rStyle w:val="Hyperlink"/>
            <w:rFonts w:cs="Times New Roman"/>
          </w:rPr>
          <w:t>https://doi.org/10.1080/14783363.2019.1626708</w:t>
        </w:r>
      </w:hyperlink>
    </w:p>
    <w:p w14:paraId="263BB677" w14:textId="77777777" w:rsidR="00160E25" w:rsidRPr="00160E25" w:rsidRDefault="00160E25" w:rsidP="00160E25">
      <w:pPr>
        <w:spacing w:line="360" w:lineRule="auto"/>
        <w:jc w:val="left"/>
        <w:rPr>
          <w:rFonts w:cs="Times New Roman"/>
        </w:rPr>
      </w:pPr>
      <w:r w:rsidRPr="00160E25">
        <w:rPr>
          <w:rFonts w:cs="Times New Roman"/>
        </w:rPr>
        <w:t xml:space="preserve">Chou, T.-C., &amp; Liao, J.-L. (2017). IT governance balancing global integration and local responsiveness for multinational companies. </w:t>
      </w:r>
      <w:r w:rsidRPr="00160E25">
        <w:rPr>
          <w:rFonts w:cs="Times New Roman"/>
          <w:i/>
          <w:iCs/>
        </w:rPr>
        <w:t>Total Quality Management &amp; Business Excellence, 28</w:t>
      </w:r>
      <w:r w:rsidRPr="00160E25">
        <w:rPr>
          <w:rFonts w:cs="Times New Roman"/>
        </w:rPr>
        <w:t xml:space="preserve">(1/2), 32–46. </w:t>
      </w:r>
      <w:hyperlink r:id="rId14" w:tgtFrame="_new" w:history="1">
        <w:r w:rsidRPr="00160E25">
          <w:rPr>
            <w:rStyle w:val="Hyperlink"/>
            <w:rFonts w:cs="Times New Roman"/>
          </w:rPr>
          <w:t>https://doi.org/10.1080/14783363.2015.1049145</w:t>
        </w:r>
      </w:hyperlink>
    </w:p>
    <w:p w14:paraId="5BD3B338" w14:textId="77777777" w:rsidR="00160E25" w:rsidRPr="00160E25" w:rsidRDefault="00160E25" w:rsidP="00160E25">
      <w:pPr>
        <w:spacing w:line="360" w:lineRule="auto"/>
        <w:jc w:val="left"/>
        <w:rPr>
          <w:rFonts w:cs="Times New Roman"/>
        </w:rPr>
      </w:pPr>
      <w:r w:rsidRPr="00160E25">
        <w:rPr>
          <w:rFonts w:cs="Times New Roman"/>
        </w:rPr>
        <w:t xml:space="preserve">Hilton. (n.d.). </w:t>
      </w:r>
      <w:r w:rsidRPr="00160E25">
        <w:rPr>
          <w:rFonts w:cs="Times New Roman"/>
          <w:i/>
          <w:iCs/>
        </w:rPr>
        <w:t>Hilton Singapore Orchard</w:t>
      </w:r>
      <w:r w:rsidRPr="00160E25">
        <w:rPr>
          <w:rFonts w:cs="Times New Roman"/>
        </w:rPr>
        <w:t xml:space="preserve">. Retrieved May 2, 2026, from </w:t>
      </w:r>
      <w:hyperlink r:id="rId15" w:tgtFrame="_new" w:history="1">
        <w:r w:rsidRPr="00160E25">
          <w:rPr>
            <w:rStyle w:val="Hyperlink"/>
            <w:rFonts w:cs="Times New Roman"/>
          </w:rPr>
          <w:t>https://www.hilton.com/en/hotels/sinorhi-hilton-singapore-orchard/</w:t>
        </w:r>
      </w:hyperlink>
    </w:p>
    <w:p w14:paraId="638F49D4" w14:textId="77777777" w:rsidR="00160E25" w:rsidRPr="00160E25" w:rsidRDefault="00160E25" w:rsidP="00160E25">
      <w:pPr>
        <w:spacing w:line="360" w:lineRule="auto"/>
        <w:jc w:val="left"/>
        <w:rPr>
          <w:rFonts w:cs="Times New Roman"/>
        </w:rPr>
      </w:pPr>
      <w:r w:rsidRPr="00160E25">
        <w:rPr>
          <w:rFonts w:cs="Times New Roman"/>
        </w:rPr>
        <w:t xml:space="preserve">Hilton Worldwide Holdings Inc. (2025). </w:t>
      </w:r>
      <w:r w:rsidRPr="00160E25">
        <w:rPr>
          <w:rFonts w:cs="Times New Roman"/>
          <w:i/>
          <w:iCs/>
        </w:rPr>
        <w:t>Form 10-K for the fiscal year ended December 31, 2024</w:t>
      </w:r>
      <w:r w:rsidRPr="00160E25">
        <w:rPr>
          <w:rFonts w:cs="Times New Roman"/>
        </w:rPr>
        <w:t xml:space="preserve">. U.S. Securities and Exchange Commission. </w:t>
      </w:r>
      <w:hyperlink r:id="rId16" w:tgtFrame="_new" w:history="1">
        <w:r w:rsidRPr="00160E25">
          <w:rPr>
            <w:rStyle w:val="Hyperlink"/>
            <w:rFonts w:cs="Times New Roman"/>
          </w:rPr>
          <w:t>https://www.sec.gov/Archives/edgar/data/1585689/0001585</w:t>
        </w:r>
        <w:r w:rsidRPr="00160E25">
          <w:rPr>
            <w:rStyle w:val="Hyperlink"/>
            <w:rFonts w:cs="Times New Roman"/>
          </w:rPr>
          <w:t>6</w:t>
        </w:r>
        <w:r w:rsidRPr="00160E25">
          <w:rPr>
            <w:rStyle w:val="Hyperlink"/>
            <w:rFonts w:cs="Times New Roman"/>
          </w:rPr>
          <w:t>8925000008/hlt-20241231.htm</w:t>
        </w:r>
      </w:hyperlink>
    </w:p>
    <w:p w14:paraId="0B1025BB" w14:textId="77777777" w:rsidR="00160E25" w:rsidRPr="00160E25" w:rsidRDefault="00160E25" w:rsidP="00160E25">
      <w:pPr>
        <w:spacing w:line="360" w:lineRule="auto"/>
        <w:jc w:val="left"/>
        <w:rPr>
          <w:rFonts w:cs="Times New Roman"/>
        </w:rPr>
      </w:pPr>
      <w:r w:rsidRPr="00160E25">
        <w:rPr>
          <w:rFonts w:cs="Times New Roman"/>
        </w:rPr>
        <w:t xml:space="preserve">Hospitality Financial and Technology Professionals. (2025, March 24). </w:t>
      </w:r>
      <w:r w:rsidRPr="00160E25">
        <w:rPr>
          <w:rFonts w:cs="Times New Roman"/>
          <w:i/>
          <w:iCs/>
        </w:rPr>
        <w:t>The USALI 12th edition is finally out: Why is this good news and why it is never too late to adopt it</w:t>
      </w:r>
      <w:r w:rsidRPr="00160E25">
        <w:rPr>
          <w:rFonts w:cs="Times New Roman"/>
        </w:rPr>
        <w:t xml:space="preserve">. </w:t>
      </w:r>
      <w:hyperlink r:id="rId17" w:tgtFrame="_new" w:history="1">
        <w:r w:rsidRPr="00160E25">
          <w:rPr>
            <w:rStyle w:val="Hyperlink"/>
            <w:rFonts w:cs="Times New Roman"/>
          </w:rPr>
          <w:t>https://www.hftp.org/news/4126362/the-usali-12th-edition-is-finally-out-why-is-this-good-news-and-why-it-is-never-too-late-to-adopt-it</w:t>
        </w:r>
      </w:hyperlink>
    </w:p>
    <w:p w14:paraId="05843700" w14:textId="77777777" w:rsidR="00160E25" w:rsidRPr="00160E25" w:rsidRDefault="00160E25" w:rsidP="00160E25">
      <w:pPr>
        <w:spacing w:line="360" w:lineRule="auto"/>
        <w:jc w:val="left"/>
        <w:rPr>
          <w:rFonts w:cs="Times New Roman"/>
        </w:rPr>
      </w:pPr>
      <w:r w:rsidRPr="00160E25">
        <w:rPr>
          <w:rFonts w:cs="Times New Roman"/>
        </w:rPr>
        <w:lastRenderedPageBreak/>
        <w:t xml:space="preserve">Kellner, A. (2017). Human resource management </w:t>
      </w:r>
      <w:proofErr w:type="spellStart"/>
      <w:r w:rsidRPr="00160E25">
        <w:rPr>
          <w:rFonts w:cs="Times New Roman"/>
        </w:rPr>
        <w:t>standardisation</w:t>
      </w:r>
      <w:proofErr w:type="spellEnd"/>
      <w:r w:rsidRPr="00160E25">
        <w:rPr>
          <w:rFonts w:cs="Times New Roman"/>
        </w:rPr>
        <w:t xml:space="preserve"> and adaptation in franchises. </w:t>
      </w:r>
      <w:r w:rsidRPr="00160E25">
        <w:rPr>
          <w:rFonts w:cs="Times New Roman"/>
          <w:i/>
          <w:iCs/>
        </w:rPr>
        <w:t>Service Industries Journal, 37</w:t>
      </w:r>
      <w:r w:rsidRPr="00160E25">
        <w:rPr>
          <w:rFonts w:cs="Times New Roman"/>
        </w:rPr>
        <w:t xml:space="preserve">(9–10), 545–566. </w:t>
      </w:r>
      <w:hyperlink r:id="rId18" w:tgtFrame="_new" w:history="1">
        <w:r w:rsidRPr="00160E25">
          <w:rPr>
            <w:rStyle w:val="Hyperlink"/>
            <w:rFonts w:cs="Times New Roman"/>
          </w:rPr>
          <w:t>https://doi.org/10.1080/02642069.2017.1339794</w:t>
        </w:r>
      </w:hyperlink>
    </w:p>
    <w:p w14:paraId="3C3EBA17" w14:textId="77777777" w:rsidR="00160E25" w:rsidRPr="00160E25" w:rsidRDefault="00160E25" w:rsidP="00160E25">
      <w:pPr>
        <w:spacing w:line="360" w:lineRule="auto"/>
        <w:jc w:val="left"/>
        <w:rPr>
          <w:rFonts w:cs="Times New Roman"/>
        </w:rPr>
      </w:pPr>
      <w:r w:rsidRPr="00160E25">
        <w:rPr>
          <w:rFonts w:cs="Times New Roman"/>
        </w:rPr>
        <w:t xml:space="preserve">Kim, M., &amp; Schmidgall, R. S. (2019). Key managerial and financial accounting skills for private club managers: Comparison to lodging managers. </w:t>
      </w:r>
      <w:r w:rsidRPr="00160E25">
        <w:rPr>
          <w:rFonts w:cs="Times New Roman"/>
          <w:i/>
          <w:iCs/>
        </w:rPr>
        <w:t>International Journal of Hospitality &amp; Tourism Administration, 20</w:t>
      </w:r>
      <w:r w:rsidRPr="00160E25">
        <w:rPr>
          <w:rFonts w:cs="Times New Roman"/>
        </w:rPr>
        <w:t xml:space="preserve">(4), 379–399. </w:t>
      </w:r>
      <w:hyperlink r:id="rId19" w:tgtFrame="_new" w:history="1">
        <w:r w:rsidRPr="00160E25">
          <w:rPr>
            <w:rStyle w:val="Hyperlink"/>
            <w:rFonts w:cs="Times New Roman"/>
          </w:rPr>
          <w:t>https://doi.org/10.1080/15256480.2017.1397583</w:t>
        </w:r>
      </w:hyperlink>
    </w:p>
    <w:p w14:paraId="4D75DBF2" w14:textId="77777777" w:rsidR="00160E25" w:rsidRPr="00160E25" w:rsidRDefault="00160E25" w:rsidP="00160E25">
      <w:pPr>
        <w:spacing w:line="360" w:lineRule="auto"/>
        <w:jc w:val="left"/>
        <w:rPr>
          <w:rFonts w:cs="Times New Roman"/>
        </w:rPr>
      </w:pPr>
      <w:r w:rsidRPr="00160E25">
        <w:rPr>
          <w:rFonts w:cs="Times New Roman"/>
        </w:rPr>
        <w:t xml:space="preserve">Kosová, R., &amp; </w:t>
      </w:r>
      <w:proofErr w:type="spellStart"/>
      <w:r w:rsidRPr="00160E25">
        <w:rPr>
          <w:rFonts w:cs="Times New Roman"/>
        </w:rPr>
        <w:t>Sertsios</w:t>
      </w:r>
      <w:proofErr w:type="spellEnd"/>
      <w:r w:rsidRPr="00160E25">
        <w:rPr>
          <w:rFonts w:cs="Times New Roman"/>
        </w:rPr>
        <w:t xml:space="preserve">, G. (2018). An empirical analysis of self-enforcement mechanisms: Evidence from hotel franchising. </w:t>
      </w:r>
      <w:r w:rsidRPr="00160E25">
        <w:rPr>
          <w:rFonts w:cs="Times New Roman"/>
          <w:i/>
          <w:iCs/>
        </w:rPr>
        <w:t>Management Science, 64</w:t>
      </w:r>
      <w:r w:rsidRPr="00160E25">
        <w:rPr>
          <w:rFonts w:cs="Times New Roman"/>
        </w:rPr>
        <w:t xml:space="preserve">(1), 43–63. </w:t>
      </w:r>
      <w:hyperlink r:id="rId20" w:tgtFrame="_new" w:history="1">
        <w:r w:rsidRPr="00160E25">
          <w:rPr>
            <w:rStyle w:val="Hyperlink"/>
            <w:rFonts w:cs="Times New Roman"/>
          </w:rPr>
          <w:t>https://doi.org/10.1287/mnsc.2016.2563</w:t>
        </w:r>
      </w:hyperlink>
    </w:p>
    <w:p w14:paraId="3D83B9B7" w14:textId="77777777" w:rsidR="00160E25" w:rsidRPr="00160E25" w:rsidRDefault="00160E25" w:rsidP="00160E25">
      <w:pPr>
        <w:spacing w:line="360" w:lineRule="auto"/>
        <w:jc w:val="left"/>
        <w:rPr>
          <w:rFonts w:cs="Times New Roman"/>
        </w:rPr>
      </w:pPr>
      <w:r w:rsidRPr="00160E25">
        <w:rPr>
          <w:rFonts w:cs="Times New Roman"/>
        </w:rPr>
        <w:t xml:space="preserve">Schoormann, T., Möller, F., Chandra Kruse, L., &amp; Otto, B. (2024). BAUSTEIN-A design tool for configuring and representing design research. </w:t>
      </w:r>
      <w:r w:rsidRPr="00160E25">
        <w:rPr>
          <w:rFonts w:cs="Times New Roman"/>
          <w:i/>
          <w:iCs/>
        </w:rPr>
        <w:t>Information Systems Journal, 34</w:t>
      </w:r>
      <w:r w:rsidRPr="00160E25">
        <w:rPr>
          <w:rFonts w:cs="Times New Roman"/>
        </w:rPr>
        <w:t xml:space="preserve">(6), 1871–1901. </w:t>
      </w:r>
      <w:hyperlink r:id="rId21" w:tgtFrame="_new" w:history="1">
        <w:r w:rsidRPr="00160E25">
          <w:rPr>
            <w:rStyle w:val="Hyperlink"/>
            <w:rFonts w:cs="Times New Roman"/>
          </w:rPr>
          <w:t>https://doi.org/10.1111/isj.12516</w:t>
        </w:r>
      </w:hyperlink>
    </w:p>
    <w:p w14:paraId="0178836A" w14:textId="77777777" w:rsidR="00160E25" w:rsidRPr="00160E25" w:rsidRDefault="00160E25" w:rsidP="00160E25">
      <w:pPr>
        <w:spacing w:line="360" w:lineRule="auto"/>
        <w:jc w:val="left"/>
        <w:rPr>
          <w:rFonts w:cs="Times New Roman"/>
        </w:rPr>
      </w:pPr>
      <w:proofErr w:type="spellStart"/>
      <w:r w:rsidRPr="00160E25">
        <w:rPr>
          <w:rFonts w:cs="Times New Roman"/>
        </w:rPr>
        <w:t>Seetah</w:t>
      </w:r>
      <w:proofErr w:type="spellEnd"/>
      <w:r w:rsidRPr="00160E25">
        <w:rPr>
          <w:rFonts w:cs="Times New Roman"/>
        </w:rPr>
        <w:t xml:space="preserve">, K. (2017). The effect of financial and Eurozone crisis on accounting quality of the hospitality sector. </w:t>
      </w:r>
      <w:r w:rsidRPr="00160E25">
        <w:rPr>
          <w:rFonts w:cs="Times New Roman"/>
          <w:i/>
          <w:iCs/>
        </w:rPr>
        <w:t>Journal of Hospitality Marketing &amp; Management, 26</w:t>
      </w:r>
      <w:r w:rsidRPr="00160E25">
        <w:rPr>
          <w:rFonts w:cs="Times New Roman"/>
        </w:rPr>
        <w:t xml:space="preserve">(5), 552–563. </w:t>
      </w:r>
      <w:hyperlink r:id="rId22" w:tgtFrame="_new" w:history="1">
        <w:r w:rsidRPr="00160E25">
          <w:rPr>
            <w:rStyle w:val="Hyperlink"/>
            <w:rFonts w:cs="Times New Roman"/>
          </w:rPr>
          <w:t>https://doi.org/10.1080/19368623.2017.1231652</w:t>
        </w:r>
      </w:hyperlink>
    </w:p>
    <w:p w14:paraId="07563C7F" w14:textId="77777777" w:rsidR="00160E25" w:rsidRPr="00160E25" w:rsidRDefault="00160E25" w:rsidP="00160E25">
      <w:pPr>
        <w:spacing w:line="360" w:lineRule="auto"/>
        <w:jc w:val="left"/>
        <w:rPr>
          <w:rFonts w:cs="Times New Roman"/>
        </w:rPr>
      </w:pPr>
      <w:r w:rsidRPr="00160E25">
        <w:rPr>
          <w:rFonts w:cs="Times New Roman"/>
        </w:rPr>
        <w:t xml:space="preserve">Singapore Tourism Board. (2025, February 4). </w:t>
      </w:r>
      <w:r w:rsidRPr="00160E25">
        <w:rPr>
          <w:rFonts w:cs="Times New Roman"/>
          <w:i/>
          <w:iCs/>
        </w:rPr>
        <w:t>Singapore achieves historical high in tourism receipts in 2024</w:t>
      </w:r>
      <w:r w:rsidRPr="00160E25">
        <w:rPr>
          <w:rFonts w:cs="Times New Roman"/>
        </w:rPr>
        <w:t xml:space="preserve">. </w:t>
      </w:r>
      <w:hyperlink r:id="rId23" w:tgtFrame="_new" w:history="1">
        <w:r w:rsidRPr="00160E25">
          <w:rPr>
            <w:rStyle w:val="Hyperlink"/>
            <w:rFonts w:cs="Times New Roman"/>
          </w:rPr>
          <w:t>https://www.stb.gov.sg/about-stb/media-publications/media-centre/singapore-achieves-historical-high-in-tourism-receipts-in-2024/</w:t>
        </w:r>
      </w:hyperlink>
    </w:p>
    <w:p w14:paraId="125B9674" w14:textId="77777777" w:rsidR="00160E25" w:rsidRPr="00160E25" w:rsidRDefault="00160E25" w:rsidP="00160E25">
      <w:pPr>
        <w:spacing w:line="360" w:lineRule="auto"/>
        <w:jc w:val="left"/>
        <w:rPr>
          <w:rFonts w:cs="Times New Roman"/>
        </w:rPr>
      </w:pPr>
      <w:r w:rsidRPr="00160E25">
        <w:rPr>
          <w:rFonts w:cs="Times New Roman"/>
        </w:rPr>
        <w:t xml:space="preserve">Whitfield, R. C., </w:t>
      </w:r>
      <w:proofErr w:type="spellStart"/>
      <w:r w:rsidRPr="00160E25">
        <w:rPr>
          <w:rFonts w:cs="Times New Roman"/>
        </w:rPr>
        <w:t>Noordzy</w:t>
      </w:r>
      <w:proofErr w:type="spellEnd"/>
      <w:r w:rsidRPr="00160E25">
        <w:rPr>
          <w:rFonts w:cs="Times New Roman"/>
        </w:rPr>
        <w:t xml:space="preserve">, G., &amp; Lin, L.-C. (2022). Extending the Crowne Plaza Changi Airport: A modular hotel construction case study. </w:t>
      </w:r>
      <w:r w:rsidRPr="00160E25">
        <w:rPr>
          <w:rFonts w:cs="Times New Roman"/>
          <w:i/>
          <w:iCs/>
        </w:rPr>
        <w:t>Journal of Teaching in Travel &amp; Tourism, 22</w:t>
      </w:r>
      <w:r w:rsidRPr="00160E25">
        <w:rPr>
          <w:rFonts w:cs="Times New Roman"/>
        </w:rPr>
        <w:t xml:space="preserve">(2), 179–187. </w:t>
      </w:r>
      <w:hyperlink r:id="rId24" w:tgtFrame="_new" w:history="1">
        <w:r w:rsidRPr="00160E25">
          <w:rPr>
            <w:rStyle w:val="Hyperlink"/>
            <w:rFonts w:cs="Times New Roman"/>
          </w:rPr>
          <w:t>https://doi.org/10.1080/15313220.2021.2010165</w:t>
        </w:r>
      </w:hyperlink>
    </w:p>
    <w:p w14:paraId="5EA7959A" w14:textId="77777777" w:rsidR="00160E25" w:rsidRPr="00160E25" w:rsidRDefault="00160E25" w:rsidP="00160E25">
      <w:pPr>
        <w:spacing w:line="360" w:lineRule="auto"/>
        <w:jc w:val="left"/>
        <w:rPr>
          <w:rFonts w:cs="Times New Roman"/>
        </w:rPr>
      </w:pPr>
      <w:r w:rsidRPr="00160E25">
        <w:rPr>
          <w:rFonts w:cs="Times New Roman"/>
        </w:rPr>
        <w:t xml:space="preserve">Zhang, D., &amp; Weatherford, L. (2017). Dynamic pricing for network revenue management: A new approach and application in the hotel industry. </w:t>
      </w:r>
      <w:r w:rsidRPr="00160E25">
        <w:rPr>
          <w:rFonts w:cs="Times New Roman"/>
          <w:i/>
          <w:iCs/>
        </w:rPr>
        <w:t>INFORMS Journal on Computing, 29</w:t>
      </w:r>
      <w:r w:rsidRPr="00160E25">
        <w:rPr>
          <w:rFonts w:cs="Times New Roman"/>
        </w:rPr>
        <w:t xml:space="preserve">(1), 18–35. </w:t>
      </w:r>
      <w:hyperlink r:id="rId25" w:tgtFrame="_new" w:history="1">
        <w:r w:rsidRPr="00160E25">
          <w:rPr>
            <w:rStyle w:val="Hyperlink"/>
            <w:rFonts w:cs="Times New Roman"/>
          </w:rPr>
          <w:t>https://doi.org/10.1287/ijoc.2016.0713</w:t>
        </w:r>
      </w:hyperlink>
    </w:p>
    <w:p w14:paraId="5017573B" w14:textId="40CE033C" w:rsidR="00F45786" w:rsidRPr="00160E25" w:rsidRDefault="00F45786" w:rsidP="00160E25">
      <w:pPr>
        <w:spacing w:line="360" w:lineRule="auto"/>
        <w:jc w:val="left"/>
        <w:rPr>
          <w:rFonts w:cs="Times New Roman"/>
        </w:rPr>
      </w:pPr>
    </w:p>
    <w:sectPr w:rsidR="00F45786" w:rsidRPr="00160E25" w:rsidSect="00034616">
      <w:pgSz w:w="11909" w:h="16834"/>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FF8B9" w14:textId="77777777" w:rsidR="003101E5" w:rsidRDefault="003101E5">
      <w:pPr>
        <w:spacing w:after="0" w:line="240" w:lineRule="auto"/>
      </w:pPr>
      <w:r>
        <w:separator/>
      </w:r>
    </w:p>
  </w:endnote>
  <w:endnote w:type="continuationSeparator" w:id="0">
    <w:p w14:paraId="707E26DC" w14:textId="77777777" w:rsidR="003101E5" w:rsidRDefault="00310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52AC" w14:textId="77777777" w:rsidR="003101E5" w:rsidRDefault="003101E5">
      <w:pPr>
        <w:spacing w:after="0" w:line="240" w:lineRule="auto"/>
      </w:pPr>
      <w:r>
        <w:separator/>
      </w:r>
    </w:p>
  </w:footnote>
  <w:footnote w:type="continuationSeparator" w:id="0">
    <w:p w14:paraId="2805B799" w14:textId="77777777" w:rsidR="003101E5" w:rsidRDefault="003101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47541653">
    <w:abstractNumId w:val="8"/>
  </w:num>
  <w:num w:numId="2" w16cid:durableId="2118794817">
    <w:abstractNumId w:val="6"/>
  </w:num>
  <w:num w:numId="3" w16cid:durableId="1551725650">
    <w:abstractNumId w:val="5"/>
  </w:num>
  <w:num w:numId="4" w16cid:durableId="658118672">
    <w:abstractNumId w:val="4"/>
  </w:num>
  <w:num w:numId="5" w16cid:durableId="248544149">
    <w:abstractNumId w:val="7"/>
  </w:num>
  <w:num w:numId="6" w16cid:durableId="1506168188">
    <w:abstractNumId w:val="3"/>
  </w:num>
  <w:num w:numId="7" w16cid:durableId="1469930582">
    <w:abstractNumId w:val="2"/>
  </w:num>
  <w:num w:numId="8" w16cid:durableId="2077900137">
    <w:abstractNumId w:val="1"/>
  </w:num>
  <w:num w:numId="9" w16cid:durableId="1850176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5242"/>
    <w:rsid w:val="0007417D"/>
    <w:rsid w:val="000D38CF"/>
    <w:rsid w:val="0015074B"/>
    <w:rsid w:val="00160E25"/>
    <w:rsid w:val="00162186"/>
    <w:rsid w:val="001A142D"/>
    <w:rsid w:val="0029639D"/>
    <w:rsid w:val="002C373B"/>
    <w:rsid w:val="003101E5"/>
    <w:rsid w:val="00326F90"/>
    <w:rsid w:val="00362C00"/>
    <w:rsid w:val="0040211D"/>
    <w:rsid w:val="00505FF7"/>
    <w:rsid w:val="00560E3B"/>
    <w:rsid w:val="005B73D9"/>
    <w:rsid w:val="00621AA0"/>
    <w:rsid w:val="0067165B"/>
    <w:rsid w:val="008329AB"/>
    <w:rsid w:val="008C15C3"/>
    <w:rsid w:val="00AA1D8D"/>
    <w:rsid w:val="00AE5380"/>
    <w:rsid w:val="00B47730"/>
    <w:rsid w:val="00BB3B4A"/>
    <w:rsid w:val="00C25AF3"/>
    <w:rsid w:val="00CB0664"/>
    <w:rsid w:val="00DA7202"/>
    <w:rsid w:val="00F26BC5"/>
    <w:rsid w:val="00F457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A57861"/>
  <w14:defaultImageDpi w14:val="300"/>
  <w15:docId w15:val="{7BEB2BD8-36DC-8B48-9899-EDF36E9E3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jc w:val="both"/>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160E25"/>
    <w:pPr>
      <w:spacing w:after="100"/>
    </w:pPr>
  </w:style>
  <w:style w:type="character" w:styleId="Hyperlink">
    <w:name w:val="Hyperlink"/>
    <w:basedOn w:val="DefaultParagraphFont"/>
    <w:uiPriority w:val="99"/>
    <w:unhideWhenUsed/>
    <w:rsid w:val="00160E25"/>
    <w:rPr>
      <w:color w:val="0000FF" w:themeColor="hyperlink"/>
      <w:u w:val="single"/>
    </w:rPr>
  </w:style>
  <w:style w:type="character" w:styleId="UnresolvedMention">
    <w:name w:val="Unresolved Mention"/>
    <w:basedOn w:val="DefaultParagraphFont"/>
    <w:uiPriority w:val="99"/>
    <w:semiHidden/>
    <w:unhideWhenUsed/>
    <w:rsid w:val="00160E25"/>
    <w:rPr>
      <w:color w:val="605E5C"/>
      <w:shd w:val="clear" w:color="auto" w:fill="E1DFDD"/>
    </w:rPr>
  </w:style>
  <w:style w:type="character" w:styleId="FollowedHyperlink">
    <w:name w:val="FollowedHyperlink"/>
    <w:basedOn w:val="DefaultParagraphFont"/>
    <w:uiPriority w:val="99"/>
    <w:semiHidden/>
    <w:unhideWhenUsed/>
    <w:rsid w:val="00160E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group.accor.com/yrj0orc8tx24/2C96SdNfIPRxqrfPEnrqBW/e9fa4eb73b66041a8c7838c45c45743d/blockchained_FY_24_PR_vDef.pdf" TargetMode="External"/><Relationship Id="rId13" Type="http://schemas.openxmlformats.org/officeDocument/2006/relationships/hyperlink" Target="https://doi.org/10.1080/14783363.2019.1626708" TargetMode="External"/><Relationship Id="rId18" Type="http://schemas.openxmlformats.org/officeDocument/2006/relationships/hyperlink" Target="https://doi.org/10.1080/02642069.2017.133979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111/isj.12516" TargetMode="External"/><Relationship Id="rId7" Type="http://schemas.openxmlformats.org/officeDocument/2006/relationships/endnotes" Target="endnotes.xml"/><Relationship Id="rId12" Type="http://schemas.openxmlformats.org/officeDocument/2006/relationships/hyperlink" Target="https://doi.org/10.1080/14783363.2023.2203377" TargetMode="External"/><Relationship Id="rId17" Type="http://schemas.openxmlformats.org/officeDocument/2006/relationships/hyperlink" Target="https://www.hftp.org/news/4126362/the-usali-12th-edition-is-finally-out-why-is-this-good-news-and-why-it-is-never-too-late-to-adopt-it" TargetMode="External"/><Relationship Id="rId25" Type="http://schemas.openxmlformats.org/officeDocument/2006/relationships/hyperlink" Target="https://doi.org/10.1287/ijoc.2016.0713" TargetMode="External"/><Relationship Id="rId2" Type="http://schemas.openxmlformats.org/officeDocument/2006/relationships/numbering" Target="numbering.xml"/><Relationship Id="rId16" Type="http://schemas.openxmlformats.org/officeDocument/2006/relationships/hyperlink" Target="https://www.sec.gov/Archives/edgar/data/1585689/000158568925000008/hlt-20241231.htm" TargetMode="External"/><Relationship Id="rId20" Type="http://schemas.openxmlformats.org/officeDocument/2006/relationships/hyperlink" Target="https://doi.org/10.1287/mnsc.2016.25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287/mnsc.2022.4650" TargetMode="External"/><Relationship Id="rId24" Type="http://schemas.openxmlformats.org/officeDocument/2006/relationships/hyperlink" Target="https://doi.org/10.1080/15313220.2021.2010165" TargetMode="External"/><Relationship Id="rId5" Type="http://schemas.openxmlformats.org/officeDocument/2006/relationships/webSettings" Target="webSettings.xml"/><Relationship Id="rId15" Type="http://schemas.openxmlformats.org/officeDocument/2006/relationships/hyperlink" Target="https://www.hilton.com/en/hotels/sinorhi-hilton-singapore-orchard/" TargetMode="External"/><Relationship Id="rId23" Type="http://schemas.openxmlformats.org/officeDocument/2006/relationships/hyperlink" Target="https://www.stb.gov.sg/about-stb/media-publications/media-centre/singapore-achieves-historical-high-in-tourism-receipts-in-2024/" TargetMode="External"/><Relationship Id="rId10" Type="http://schemas.openxmlformats.org/officeDocument/2006/relationships/hyperlink" Target="https://group.accor.com/en" TargetMode="External"/><Relationship Id="rId19" Type="http://schemas.openxmlformats.org/officeDocument/2006/relationships/hyperlink" Target="https://doi.org/10.1080/15256480.2017.1397583" TargetMode="External"/><Relationship Id="rId4" Type="http://schemas.openxmlformats.org/officeDocument/2006/relationships/settings" Target="settings.xml"/><Relationship Id="rId9" Type="http://schemas.openxmlformats.org/officeDocument/2006/relationships/hyperlink" Target="https://all.accor.com/a/en/destination/city/hotels-singapore-v5579.html" TargetMode="External"/><Relationship Id="rId14" Type="http://schemas.openxmlformats.org/officeDocument/2006/relationships/hyperlink" Target="https://doi.org/10.1080/14783363.2015.1049145" TargetMode="External"/><Relationship Id="rId22" Type="http://schemas.openxmlformats.org/officeDocument/2006/relationships/hyperlink" Target="https://doi.org/10.1080/19368623.2017.123165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2984</Words>
  <Characters>17014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Critical Review of the USALI Universal Accounting Framework in Singapore's Tourism, Hospitality and Entertainment Industries</vt:lpstr>
    </vt:vector>
  </TitlesOfParts>
  <Manager/>
  <Company/>
  <LinksUpToDate>false</LinksUpToDate>
  <CharactersWithSpaces>19959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Review of the USALI Universal Accounting Framework in Singapore's Tourism, Hospitality and Entertainment Industries</dc:title>
  <dc:subject>Critical Review Report</dc:subject>
  <dc:creator/>
  <cp:keywords>USALI, Singapore, hospitality accounting, critical review</cp:keywords>
  <dc:description>generated by python-docx</dc:description>
  <cp:lastModifiedBy>Dipesh</cp:lastModifiedBy>
  <cp:revision>29</cp:revision>
  <dcterms:created xsi:type="dcterms:W3CDTF">2013-12-23T23:15:00Z</dcterms:created>
  <dcterms:modified xsi:type="dcterms:W3CDTF">2026-05-03T13:12:00Z</dcterms:modified>
  <cp:category/>
</cp:coreProperties>
</file>