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7D2B" w14:textId="77777777" w:rsidR="00426A0B" w:rsidRPr="00BD477B" w:rsidRDefault="00000000" w:rsidP="00BD477B">
      <w:pPr>
        <w:spacing w:after="100" w:line="360" w:lineRule="auto"/>
        <w:jc w:val="center"/>
        <w:rPr>
          <w:rFonts w:ascii="Times New Roman" w:hAnsi="Times New Roman" w:cs="Times New Roman"/>
          <w:sz w:val="36"/>
          <w:szCs w:val="36"/>
        </w:rPr>
      </w:pPr>
      <w:r w:rsidRPr="00BD477B">
        <w:rPr>
          <w:rFonts w:ascii="Times New Roman" w:hAnsi="Times New Roman" w:cs="Times New Roman"/>
          <w:b/>
          <w:bCs/>
          <w:sz w:val="36"/>
          <w:szCs w:val="36"/>
        </w:rPr>
        <w:t xml:space="preserve">Sustainable Green IT/IS for Future-Ready Data </w:t>
      </w:r>
      <w:proofErr w:type="spellStart"/>
      <w:r w:rsidRPr="00BD477B">
        <w:rPr>
          <w:rFonts w:ascii="Times New Roman" w:hAnsi="Times New Roman" w:cs="Times New Roman"/>
          <w:b/>
          <w:bCs/>
          <w:sz w:val="36"/>
          <w:szCs w:val="36"/>
        </w:rPr>
        <w:t>Centres</w:t>
      </w:r>
      <w:proofErr w:type="spellEnd"/>
      <w:r w:rsidRPr="00BD477B">
        <w:rPr>
          <w:rFonts w:ascii="Times New Roman" w:hAnsi="Times New Roman" w:cs="Times New Roman"/>
          <w:b/>
          <w:bCs/>
          <w:sz w:val="36"/>
          <w:szCs w:val="36"/>
        </w:rPr>
        <w:t>:</w:t>
      </w:r>
    </w:p>
    <w:p w14:paraId="3F9CC70B" w14:textId="77777777" w:rsidR="00426A0B" w:rsidRPr="00BD477B" w:rsidRDefault="00000000" w:rsidP="00BD477B">
      <w:pPr>
        <w:spacing w:after="200" w:line="360" w:lineRule="auto"/>
        <w:jc w:val="center"/>
        <w:rPr>
          <w:rFonts w:ascii="Times New Roman" w:hAnsi="Times New Roman" w:cs="Times New Roman"/>
          <w:b/>
          <w:bCs/>
          <w:sz w:val="36"/>
          <w:szCs w:val="36"/>
        </w:rPr>
      </w:pPr>
      <w:r w:rsidRPr="00BD477B">
        <w:rPr>
          <w:rFonts w:ascii="Times New Roman" w:hAnsi="Times New Roman" w:cs="Times New Roman"/>
          <w:b/>
          <w:bCs/>
          <w:sz w:val="36"/>
          <w:szCs w:val="36"/>
        </w:rPr>
        <w:t>A Case Study of Equinix’s Sustainability Initiatives</w:t>
      </w:r>
    </w:p>
    <w:p w14:paraId="3A752A27"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7485B3E9"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5732A66C"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7C550244"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41034E7A"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423DB2D6"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7F8245B5"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30A6AF33"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4EF43916"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2B6EABBF"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024E711F"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091451A9"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2D49BC2F"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268DE2B8"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18253288"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1A922B75" w14:textId="77777777" w:rsidR="00BD477B" w:rsidRPr="00BD477B" w:rsidRDefault="00BD477B" w:rsidP="00BD477B">
      <w:pPr>
        <w:spacing w:after="200" w:line="360" w:lineRule="auto"/>
        <w:jc w:val="center"/>
        <w:rPr>
          <w:rFonts w:ascii="Times New Roman" w:hAnsi="Times New Roman" w:cs="Times New Roman"/>
          <w:b/>
          <w:bCs/>
          <w:sz w:val="28"/>
          <w:szCs w:val="28"/>
        </w:rPr>
      </w:pPr>
    </w:p>
    <w:p w14:paraId="510D5757" w14:textId="77777777" w:rsidR="00BD477B" w:rsidRPr="00BD477B" w:rsidRDefault="00BD477B" w:rsidP="00BD477B">
      <w:pPr>
        <w:spacing w:after="200" w:line="360" w:lineRule="auto"/>
        <w:jc w:val="center"/>
        <w:rPr>
          <w:rFonts w:ascii="Times New Roman" w:hAnsi="Times New Roman" w:cs="Times New Roman"/>
          <w:b/>
          <w:bCs/>
          <w:sz w:val="28"/>
          <w:szCs w:val="28"/>
        </w:rPr>
      </w:pPr>
    </w:p>
    <w:sdt>
      <w:sdtPr>
        <w:rPr>
          <w:rFonts w:ascii="Times New Roman" w:eastAsia="Arial" w:hAnsi="Times New Roman" w:cs="Times New Roman"/>
          <w:color w:val="auto"/>
          <w:sz w:val="24"/>
          <w:szCs w:val="24"/>
        </w:rPr>
        <w:id w:val="-849879145"/>
        <w:docPartObj>
          <w:docPartGallery w:val="Table of Contents"/>
          <w:docPartUnique/>
        </w:docPartObj>
      </w:sdtPr>
      <w:sdtEndPr>
        <w:rPr>
          <w:b/>
          <w:bCs/>
          <w:noProof/>
        </w:rPr>
      </w:sdtEndPr>
      <w:sdtContent>
        <w:p w14:paraId="30463087" w14:textId="6DFD843A" w:rsidR="00BD477B" w:rsidRPr="00BD477B" w:rsidRDefault="00BD477B" w:rsidP="00BD477B">
          <w:pPr>
            <w:pStyle w:val="TOCHeading"/>
            <w:spacing w:line="360" w:lineRule="auto"/>
            <w:rPr>
              <w:rFonts w:ascii="Times New Roman" w:hAnsi="Times New Roman" w:cs="Times New Roman"/>
            </w:rPr>
          </w:pPr>
          <w:r w:rsidRPr="00BD477B">
            <w:rPr>
              <w:rFonts w:ascii="Times New Roman" w:hAnsi="Times New Roman" w:cs="Times New Roman"/>
            </w:rPr>
            <w:t>Table of Contents</w:t>
          </w:r>
        </w:p>
        <w:p w14:paraId="5365C1D0" w14:textId="62ED409D" w:rsidR="00BD477B" w:rsidRPr="00BD477B" w:rsidRDefault="00BD477B" w:rsidP="00BD477B">
          <w:pPr>
            <w:pStyle w:val="TOC1"/>
            <w:tabs>
              <w:tab w:val="right" w:leader="dot" w:pos="9350"/>
            </w:tabs>
            <w:spacing w:line="360" w:lineRule="auto"/>
            <w:rPr>
              <w:rFonts w:ascii="Times New Roman" w:hAnsi="Times New Roman" w:cs="Times New Roman"/>
              <w:noProof/>
            </w:rPr>
          </w:pPr>
          <w:r w:rsidRPr="00BD477B">
            <w:rPr>
              <w:rFonts w:ascii="Times New Roman" w:hAnsi="Times New Roman" w:cs="Times New Roman"/>
            </w:rPr>
            <w:fldChar w:fldCharType="begin"/>
          </w:r>
          <w:r w:rsidRPr="00BD477B">
            <w:rPr>
              <w:rFonts w:ascii="Times New Roman" w:hAnsi="Times New Roman" w:cs="Times New Roman"/>
            </w:rPr>
            <w:instrText xml:space="preserve"> TOC \o "1-3" \h \z \u </w:instrText>
          </w:r>
          <w:r w:rsidRPr="00BD477B">
            <w:rPr>
              <w:rFonts w:ascii="Times New Roman" w:hAnsi="Times New Roman" w:cs="Times New Roman"/>
            </w:rPr>
            <w:fldChar w:fldCharType="separate"/>
          </w:r>
          <w:hyperlink w:anchor="_Toc228211089" w:history="1">
            <w:r w:rsidRPr="00BD477B">
              <w:rPr>
                <w:rStyle w:val="Hyperlink"/>
                <w:rFonts w:ascii="Times New Roman" w:hAnsi="Times New Roman" w:cs="Times New Roman"/>
                <w:noProof/>
              </w:rPr>
              <w:t>1. Introduction</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_Toc228211089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2</w:t>
            </w:r>
            <w:r w:rsidRPr="00BD477B">
              <w:rPr>
                <w:rFonts w:ascii="Times New Roman" w:hAnsi="Times New Roman" w:cs="Times New Roman"/>
                <w:noProof/>
                <w:webHidden/>
              </w:rPr>
              <w:fldChar w:fldCharType="end"/>
            </w:r>
          </w:hyperlink>
        </w:p>
        <w:p w14:paraId="01C9300B" w14:textId="729C9E00"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0" w:history="1">
            <w:r w:rsidRPr="00BD477B">
              <w:rPr>
                <w:rStyle w:val="Hyperlink"/>
                <w:rFonts w:ascii="Times New Roman" w:hAnsi="Times New Roman" w:cs="Times New Roman"/>
                <w:noProof/>
              </w:rPr>
              <w:t>2. Green IT and Green IS in Data Centre Sustainability</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_Toc228211090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2</w:t>
            </w:r>
            <w:r w:rsidRPr="00BD477B">
              <w:rPr>
                <w:rFonts w:ascii="Times New Roman" w:hAnsi="Times New Roman" w:cs="Times New Roman"/>
                <w:noProof/>
                <w:webHidden/>
              </w:rPr>
              <w:fldChar w:fldCharType="end"/>
            </w:r>
          </w:hyperlink>
        </w:p>
        <w:p w14:paraId="1E44C38E" w14:textId="5B4397E2"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1" w:history="1">
            <w:r w:rsidRPr="00BD477B">
              <w:rPr>
                <w:rStyle w:val="Hyperlink"/>
                <w:rFonts w:ascii="Times New Roman" w:hAnsi="Times New Roman" w:cs="Times New Roman"/>
                <w:noProof/>
              </w:rPr>
              <w:t>3. Equinix’s Sustainability Initiatives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_Toc228211091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3</w:t>
            </w:r>
            <w:r w:rsidRPr="00BD477B">
              <w:rPr>
                <w:rFonts w:ascii="Times New Roman" w:hAnsi="Times New Roman" w:cs="Times New Roman"/>
                <w:noProof/>
                <w:webHidden/>
              </w:rPr>
              <w:fldChar w:fldCharType="end"/>
            </w:r>
          </w:hyperlink>
        </w:p>
        <w:p w14:paraId="4F0EE2D9" w14:textId="2230759B"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2" w:history="1">
            <w:r w:rsidRPr="00BD477B">
              <w:rPr>
                <w:rStyle w:val="Hyperlink"/>
                <w:rFonts w:ascii="Times New Roman" w:hAnsi="Times New Roman" w:cs="Times New Roman"/>
                <w:noProof/>
              </w:rPr>
              <w:t>4. Technical Implications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_Toc228211092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3</w:t>
            </w:r>
            <w:r w:rsidRPr="00BD477B">
              <w:rPr>
                <w:rFonts w:ascii="Times New Roman" w:hAnsi="Times New Roman" w:cs="Times New Roman"/>
                <w:noProof/>
                <w:webHidden/>
              </w:rPr>
              <w:fldChar w:fldCharType="end"/>
            </w:r>
          </w:hyperlink>
        </w:p>
        <w:p w14:paraId="09217B86" w14:textId="35B627FC"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3" w:history="1">
            <w:r w:rsidRPr="00BD477B">
              <w:rPr>
                <w:rStyle w:val="Hyperlink"/>
                <w:rFonts w:ascii="Times New Roman" w:hAnsi="Times New Roman" w:cs="Times New Roman"/>
                <w:noProof/>
              </w:rPr>
              <w:t>5. Operational Implications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_Toc228211093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3</w:t>
            </w:r>
            <w:r w:rsidRPr="00BD477B">
              <w:rPr>
                <w:rFonts w:ascii="Times New Roman" w:hAnsi="Times New Roman" w:cs="Times New Roman"/>
                <w:noProof/>
                <w:webHidden/>
              </w:rPr>
              <w:fldChar w:fldCharType="end"/>
            </w:r>
          </w:hyperlink>
        </w:p>
        <w:p w14:paraId="648C6B3D" w14:textId="3FF84B80"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4" w:history="1">
            <w:r w:rsidRPr="00BD477B">
              <w:rPr>
                <w:rStyle w:val="Hyperlink"/>
                <w:rFonts w:ascii="Times New Roman" w:hAnsi="Times New Roman" w:cs="Times New Roman"/>
                <w:noProof/>
              </w:rPr>
              <w:t>6. Ethical and Social Implications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_Toc228211094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4</w:t>
            </w:r>
            <w:r w:rsidRPr="00BD477B">
              <w:rPr>
                <w:rFonts w:ascii="Times New Roman" w:hAnsi="Times New Roman" w:cs="Times New Roman"/>
                <w:noProof/>
                <w:webHidden/>
              </w:rPr>
              <w:fldChar w:fldCharType="end"/>
            </w:r>
          </w:hyperlink>
        </w:p>
        <w:p w14:paraId="79FAFFC3" w14:textId="32A98406"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5" w:history="1">
            <w:r w:rsidRPr="00BD477B">
              <w:rPr>
                <w:rStyle w:val="Hyperlink"/>
                <w:rFonts w:ascii="Times New Roman" w:hAnsi="Times New Roman" w:cs="Times New Roman"/>
                <w:noProof/>
              </w:rPr>
              <w:t>7. Challenges and Limitations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_Toc228211095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4</w:t>
            </w:r>
            <w:r w:rsidRPr="00BD477B">
              <w:rPr>
                <w:rFonts w:ascii="Times New Roman" w:hAnsi="Times New Roman" w:cs="Times New Roman"/>
                <w:noProof/>
                <w:webHidden/>
              </w:rPr>
              <w:fldChar w:fldCharType="end"/>
            </w:r>
          </w:hyperlink>
        </w:p>
        <w:p w14:paraId="2D32DEAB" w14:textId="615889A9"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6" w:history="1">
            <w:r w:rsidRPr="00BD477B">
              <w:rPr>
                <w:rStyle w:val="Hyperlink"/>
                <w:rFonts w:ascii="Times New Roman" w:hAnsi="Times New Roman" w:cs="Times New Roman"/>
                <w:noProof/>
              </w:rPr>
              <w:t>8. Conclusion and Recommendations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_Toc228211096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5</w:t>
            </w:r>
            <w:r w:rsidRPr="00BD477B">
              <w:rPr>
                <w:rFonts w:ascii="Times New Roman" w:hAnsi="Times New Roman" w:cs="Times New Roman"/>
                <w:noProof/>
                <w:webHidden/>
              </w:rPr>
              <w:fldChar w:fldCharType="end"/>
            </w:r>
          </w:hyperlink>
        </w:p>
        <w:p w14:paraId="1394FF4B" w14:textId="2994C811" w:rsidR="00BD477B" w:rsidRPr="00BD477B" w:rsidRDefault="00BD477B" w:rsidP="00BD477B">
          <w:pPr>
            <w:pStyle w:val="TOC1"/>
            <w:tabs>
              <w:tab w:val="right" w:leader="dot" w:pos="9350"/>
            </w:tabs>
            <w:spacing w:line="360" w:lineRule="auto"/>
            <w:rPr>
              <w:rFonts w:ascii="Times New Roman" w:hAnsi="Times New Roman" w:cs="Times New Roman"/>
              <w:noProof/>
            </w:rPr>
          </w:pPr>
          <w:hyperlink w:anchor="_Toc228211097" w:history="1">
            <w:r w:rsidRPr="00BD477B">
              <w:rPr>
                <w:rStyle w:val="Hyperlink"/>
                <w:rFonts w:ascii="Times New Roman" w:hAnsi="Times New Roman" w:cs="Times New Roman"/>
                <w:noProof/>
              </w:rPr>
              <w:t>References</w:t>
            </w:r>
            <w:r w:rsidRPr="00BD477B">
              <w:rPr>
                <w:rFonts w:ascii="Times New Roman" w:hAnsi="Times New Roman" w:cs="Times New Roman"/>
                <w:noProof/>
                <w:webHidden/>
              </w:rPr>
              <w:tab/>
            </w:r>
            <w:r w:rsidRPr="00BD477B">
              <w:rPr>
                <w:rFonts w:ascii="Times New Roman" w:hAnsi="Times New Roman" w:cs="Times New Roman"/>
                <w:noProof/>
                <w:webHidden/>
              </w:rPr>
              <w:fldChar w:fldCharType="begin"/>
            </w:r>
            <w:r w:rsidRPr="00BD477B">
              <w:rPr>
                <w:rFonts w:ascii="Times New Roman" w:hAnsi="Times New Roman" w:cs="Times New Roman"/>
                <w:noProof/>
                <w:webHidden/>
              </w:rPr>
              <w:instrText xml:space="preserve"> PAGEREF _Toc228211097 \h </w:instrText>
            </w:r>
            <w:r w:rsidRPr="00BD477B">
              <w:rPr>
                <w:rFonts w:ascii="Times New Roman" w:hAnsi="Times New Roman" w:cs="Times New Roman"/>
                <w:noProof/>
                <w:webHidden/>
              </w:rPr>
            </w:r>
            <w:r w:rsidRPr="00BD477B">
              <w:rPr>
                <w:rFonts w:ascii="Times New Roman" w:hAnsi="Times New Roman" w:cs="Times New Roman"/>
                <w:noProof/>
                <w:webHidden/>
              </w:rPr>
              <w:fldChar w:fldCharType="separate"/>
            </w:r>
            <w:r w:rsidRPr="00BD477B">
              <w:rPr>
                <w:rFonts w:ascii="Times New Roman" w:hAnsi="Times New Roman" w:cs="Times New Roman"/>
                <w:noProof/>
                <w:webHidden/>
              </w:rPr>
              <w:t>5</w:t>
            </w:r>
            <w:r w:rsidRPr="00BD477B">
              <w:rPr>
                <w:rFonts w:ascii="Times New Roman" w:hAnsi="Times New Roman" w:cs="Times New Roman"/>
                <w:noProof/>
                <w:webHidden/>
              </w:rPr>
              <w:fldChar w:fldCharType="end"/>
            </w:r>
          </w:hyperlink>
        </w:p>
        <w:p w14:paraId="0FC07826" w14:textId="4BCC0C37" w:rsidR="00BD477B" w:rsidRPr="00BD477B" w:rsidRDefault="00BD477B" w:rsidP="00BD477B">
          <w:pPr>
            <w:spacing w:line="360" w:lineRule="auto"/>
            <w:rPr>
              <w:rFonts w:ascii="Times New Roman" w:hAnsi="Times New Roman" w:cs="Times New Roman"/>
            </w:rPr>
          </w:pPr>
          <w:r w:rsidRPr="00BD477B">
            <w:rPr>
              <w:rFonts w:ascii="Times New Roman" w:hAnsi="Times New Roman" w:cs="Times New Roman"/>
              <w:b/>
              <w:bCs/>
              <w:noProof/>
            </w:rPr>
            <w:fldChar w:fldCharType="end"/>
          </w:r>
        </w:p>
      </w:sdtContent>
    </w:sdt>
    <w:p w14:paraId="33D70B76" w14:textId="77777777" w:rsidR="00BD477B" w:rsidRPr="00BD477B" w:rsidRDefault="00BD477B" w:rsidP="00BD477B">
      <w:pPr>
        <w:spacing w:after="200" w:line="360" w:lineRule="auto"/>
        <w:rPr>
          <w:rFonts w:ascii="Times New Roman" w:hAnsi="Times New Roman" w:cs="Times New Roman"/>
        </w:rPr>
      </w:pPr>
    </w:p>
    <w:p w14:paraId="518755F4" w14:textId="77777777" w:rsidR="00BD477B" w:rsidRPr="00BD477B" w:rsidRDefault="00BD477B" w:rsidP="00BD477B">
      <w:pPr>
        <w:spacing w:after="200" w:line="360" w:lineRule="auto"/>
        <w:rPr>
          <w:rFonts w:ascii="Times New Roman" w:hAnsi="Times New Roman" w:cs="Times New Roman"/>
        </w:rPr>
      </w:pPr>
    </w:p>
    <w:p w14:paraId="2A167C41" w14:textId="77777777" w:rsidR="00BD477B" w:rsidRPr="00BD477B" w:rsidRDefault="00BD477B" w:rsidP="00BD477B">
      <w:pPr>
        <w:spacing w:after="200" w:line="360" w:lineRule="auto"/>
        <w:rPr>
          <w:rFonts w:ascii="Times New Roman" w:hAnsi="Times New Roman" w:cs="Times New Roman"/>
        </w:rPr>
      </w:pPr>
    </w:p>
    <w:p w14:paraId="606E3A83" w14:textId="77777777" w:rsidR="00BD477B" w:rsidRPr="00BD477B" w:rsidRDefault="00BD477B" w:rsidP="00BD477B">
      <w:pPr>
        <w:spacing w:after="200" w:line="360" w:lineRule="auto"/>
        <w:rPr>
          <w:rFonts w:ascii="Times New Roman" w:hAnsi="Times New Roman" w:cs="Times New Roman"/>
        </w:rPr>
      </w:pPr>
    </w:p>
    <w:p w14:paraId="301F456F" w14:textId="77777777" w:rsidR="00BD477B" w:rsidRPr="00BD477B" w:rsidRDefault="00BD477B" w:rsidP="00BD477B">
      <w:pPr>
        <w:spacing w:after="200" w:line="360" w:lineRule="auto"/>
        <w:rPr>
          <w:rFonts w:ascii="Times New Roman" w:hAnsi="Times New Roman" w:cs="Times New Roman"/>
        </w:rPr>
      </w:pPr>
    </w:p>
    <w:p w14:paraId="78D70425" w14:textId="77777777" w:rsidR="00BD477B" w:rsidRPr="00BD477B" w:rsidRDefault="00BD477B" w:rsidP="00BD477B">
      <w:pPr>
        <w:spacing w:after="200" w:line="360" w:lineRule="auto"/>
        <w:rPr>
          <w:rFonts w:ascii="Times New Roman" w:hAnsi="Times New Roman" w:cs="Times New Roman"/>
        </w:rPr>
      </w:pPr>
    </w:p>
    <w:p w14:paraId="237FEF27" w14:textId="77777777" w:rsidR="00BD477B" w:rsidRPr="00BD477B" w:rsidRDefault="00BD477B" w:rsidP="00BD477B">
      <w:pPr>
        <w:spacing w:after="200" w:line="360" w:lineRule="auto"/>
        <w:rPr>
          <w:rFonts w:ascii="Times New Roman" w:hAnsi="Times New Roman" w:cs="Times New Roman"/>
        </w:rPr>
      </w:pPr>
    </w:p>
    <w:p w14:paraId="23876D04" w14:textId="77777777" w:rsidR="00BD477B" w:rsidRPr="00BD477B" w:rsidRDefault="00BD477B" w:rsidP="00BD477B">
      <w:pPr>
        <w:spacing w:after="200" w:line="360" w:lineRule="auto"/>
        <w:rPr>
          <w:rFonts w:ascii="Times New Roman" w:hAnsi="Times New Roman" w:cs="Times New Roman"/>
        </w:rPr>
      </w:pPr>
    </w:p>
    <w:p w14:paraId="26C2C0EF" w14:textId="77777777" w:rsidR="00BD477B" w:rsidRPr="00BD477B" w:rsidRDefault="00BD477B" w:rsidP="00BD477B">
      <w:pPr>
        <w:spacing w:after="200" w:line="360" w:lineRule="auto"/>
        <w:rPr>
          <w:rFonts w:ascii="Times New Roman" w:hAnsi="Times New Roman" w:cs="Times New Roman"/>
        </w:rPr>
      </w:pPr>
    </w:p>
    <w:p w14:paraId="2190D349" w14:textId="77777777" w:rsidR="00BD477B" w:rsidRDefault="00BD477B" w:rsidP="00BD477B">
      <w:pPr>
        <w:spacing w:after="200" w:line="360" w:lineRule="auto"/>
        <w:rPr>
          <w:rFonts w:ascii="Times New Roman" w:hAnsi="Times New Roman" w:cs="Times New Roman"/>
        </w:rPr>
      </w:pPr>
    </w:p>
    <w:p w14:paraId="30275BB3" w14:textId="77777777" w:rsidR="00BD477B" w:rsidRPr="00BD477B" w:rsidRDefault="00BD477B" w:rsidP="00BD477B">
      <w:pPr>
        <w:spacing w:after="200" w:line="360" w:lineRule="auto"/>
        <w:rPr>
          <w:rFonts w:ascii="Times New Roman" w:hAnsi="Times New Roman" w:cs="Times New Roman"/>
        </w:rPr>
      </w:pPr>
    </w:p>
    <w:p w14:paraId="4474669A" w14:textId="77777777" w:rsidR="00BD477B" w:rsidRPr="00BD477B" w:rsidRDefault="00BD477B" w:rsidP="00BD477B">
      <w:pPr>
        <w:spacing w:after="200" w:line="360" w:lineRule="auto"/>
        <w:rPr>
          <w:rFonts w:ascii="Times New Roman" w:hAnsi="Times New Roman" w:cs="Times New Roman"/>
        </w:rPr>
      </w:pPr>
    </w:p>
    <w:p w14:paraId="7868A443" w14:textId="77777777" w:rsidR="00426A0B" w:rsidRPr="00BD477B" w:rsidRDefault="00000000" w:rsidP="00BD477B">
      <w:pPr>
        <w:pStyle w:val="Heading1"/>
      </w:pPr>
      <w:bookmarkStart w:id="0" w:name="_Toc228211089"/>
      <w:r w:rsidRPr="00BD477B">
        <w:lastRenderedPageBreak/>
        <w:t>1. Introduction</w:t>
      </w:r>
      <w:bookmarkEnd w:id="0"/>
    </w:p>
    <w:p w14:paraId="1E8025FC" w14:textId="6812D332" w:rsidR="00F75CA3" w:rsidRDefault="00F75CA3" w:rsidP="00BD477B">
      <w:pPr>
        <w:spacing w:after="140" w:line="360" w:lineRule="auto"/>
        <w:jc w:val="both"/>
        <w:rPr>
          <w:rFonts w:ascii="Times New Roman" w:hAnsi="Times New Roman" w:cs="Times New Roman"/>
        </w:rPr>
      </w:pPr>
      <w:r w:rsidRPr="00F75CA3">
        <w:rPr>
          <w:rFonts w:ascii="Times New Roman" w:hAnsi="Times New Roman" w:cs="Times New Roman"/>
        </w:rPr>
        <w:t xml:space="preserve">The rapid rise of cloud computing, artificial intelligence (AI), and the Internet of Things has established data </w:t>
      </w:r>
      <w:proofErr w:type="spellStart"/>
      <w:r w:rsidRPr="00F75CA3">
        <w:rPr>
          <w:rFonts w:ascii="Times New Roman" w:hAnsi="Times New Roman" w:cs="Times New Roman"/>
        </w:rPr>
        <w:t>centres</w:t>
      </w:r>
      <w:proofErr w:type="spellEnd"/>
      <w:r w:rsidRPr="00F75CA3">
        <w:rPr>
          <w:rFonts w:ascii="Times New Roman" w:hAnsi="Times New Roman" w:cs="Times New Roman"/>
        </w:rPr>
        <w:t xml:space="preserve"> as the core of the digital economy, but the increase in energy consumption is raising alarm about the need to make them sustainable. In 2024, The International Energy Agency (IEA) estimate the global data </w:t>
      </w:r>
      <w:proofErr w:type="spellStart"/>
      <w:r w:rsidRPr="00F75CA3">
        <w:rPr>
          <w:rFonts w:ascii="Times New Roman" w:hAnsi="Times New Roman" w:cs="Times New Roman"/>
        </w:rPr>
        <w:t>centre</w:t>
      </w:r>
      <w:proofErr w:type="spellEnd"/>
      <w:r w:rsidRPr="00F75CA3">
        <w:rPr>
          <w:rFonts w:ascii="Times New Roman" w:hAnsi="Times New Roman" w:cs="Times New Roman"/>
        </w:rPr>
        <w:t xml:space="preserve"> electricity consumption to be around 415 terawatt-hours (TWh) and predicts that it will increase to over 1.5 times by 2030 (IEA, 2025). According to Gartner (2024), the power crunches are likely to limit 40 percent of AI data </w:t>
      </w:r>
      <w:proofErr w:type="spellStart"/>
      <w:r w:rsidRPr="00F75CA3">
        <w:rPr>
          <w:rFonts w:ascii="Times New Roman" w:hAnsi="Times New Roman" w:cs="Times New Roman"/>
        </w:rPr>
        <w:t>centres</w:t>
      </w:r>
      <w:proofErr w:type="spellEnd"/>
      <w:r w:rsidRPr="00F75CA3">
        <w:rPr>
          <w:rFonts w:ascii="Times New Roman" w:hAnsi="Times New Roman" w:cs="Times New Roman"/>
        </w:rPr>
        <w:t xml:space="preserve"> by 2027. This trend requires two complimentary frameworks: Green IT, which is the IT infrastructure that is environmentally responsive in terms of design, operation and disposal (Murugesan, 2008); and Green IS, which is the strategic utilization of information systems to facilitate sustainability of information systems through energy informatics and carbon governance (Watson et al., 2010). In the present report, the research questions are examined in terms of the support of sustainable data </w:t>
      </w:r>
      <w:proofErr w:type="spellStart"/>
      <w:r w:rsidRPr="00F75CA3">
        <w:rPr>
          <w:rFonts w:ascii="Times New Roman" w:hAnsi="Times New Roman" w:cs="Times New Roman"/>
        </w:rPr>
        <w:t>centre</w:t>
      </w:r>
      <w:proofErr w:type="spellEnd"/>
      <w:r w:rsidRPr="00F75CA3">
        <w:rPr>
          <w:rFonts w:ascii="Times New Roman" w:hAnsi="Times New Roman" w:cs="Times New Roman"/>
        </w:rPr>
        <w:t xml:space="preserve"> operations by both methods with the use of Equinix as the main case study: This global colocation provider has more than 260 data </w:t>
      </w:r>
      <w:proofErr w:type="spellStart"/>
      <w:r w:rsidRPr="00F75CA3">
        <w:rPr>
          <w:rFonts w:ascii="Times New Roman" w:hAnsi="Times New Roman" w:cs="Times New Roman"/>
        </w:rPr>
        <w:t>centres</w:t>
      </w:r>
      <w:proofErr w:type="spellEnd"/>
      <w:r w:rsidRPr="00F75CA3">
        <w:rPr>
          <w:rFonts w:ascii="Times New Roman" w:hAnsi="Times New Roman" w:cs="Times New Roman"/>
        </w:rPr>
        <w:t xml:space="preserve"> in 35 countries (Equinix, 2025).</w:t>
      </w:r>
    </w:p>
    <w:p w14:paraId="1A247424" w14:textId="77777777" w:rsidR="00BD477B" w:rsidRPr="00BD477B" w:rsidRDefault="00BD477B" w:rsidP="00BD477B">
      <w:pPr>
        <w:spacing w:after="140" w:line="360" w:lineRule="auto"/>
        <w:jc w:val="both"/>
        <w:rPr>
          <w:rFonts w:ascii="Times New Roman" w:hAnsi="Times New Roman" w:cs="Times New Roman"/>
        </w:rPr>
      </w:pPr>
    </w:p>
    <w:p w14:paraId="0580E8F0" w14:textId="77777777" w:rsidR="00426A0B" w:rsidRPr="00BD477B" w:rsidRDefault="00000000" w:rsidP="00BD477B">
      <w:pPr>
        <w:pStyle w:val="Heading1"/>
      </w:pPr>
      <w:bookmarkStart w:id="1" w:name="_Toc228211090"/>
      <w:r w:rsidRPr="00BD477B">
        <w:t>2. Green IT and Green IS in Data Centre Sustainability</w:t>
      </w:r>
      <w:bookmarkEnd w:id="1"/>
    </w:p>
    <w:p w14:paraId="242032AA" w14:textId="58F8B82F" w:rsidR="00F75CA3" w:rsidRDefault="005227D7" w:rsidP="00BD477B">
      <w:pPr>
        <w:spacing w:after="140" w:line="360" w:lineRule="auto"/>
        <w:jc w:val="both"/>
        <w:rPr>
          <w:rFonts w:ascii="Times New Roman" w:hAnsi="Times New Roman" w:cs="Times New Roman"/>
        </w:rPr>
      </w:pPr>
      <w:r w:rsidRPr="005227D7">
        <w:rPr>
          <w:rFonts w:ascii="Times New Roman" w:hAnsi="Times New Roman" w:cs="Times New Roman"/>
        </w:rPr>
        <w:t xml:space="preserve">Green IT deals with the physical layer of sustainability: energy efficient servers, state of the art cooling, purchase of renewable energy, care of hardware lifecycle and power usage effectiveness (PUE) monitoring (Murugesan, 2008). Green IS </w:t>
      </w:r>
      <w:proofErr w:type="spellStart"/>
      <w:r w:rsidRPr="005227D7">
        <w:rPr>
          <w:rFonts w:ascii="Times New Roman" w:hAnsi="Times New Roman" w:cs="Times New Roman"/>
        </w:rPr>
        <w:t>is</w:t>
      </w:r>
      <w:proofErr w:type="spellEnd"/>
      <w:r w:rsidRPr="005227D7">
        <w:rPr>
          <w:rFonts w:ascii="Times New Roman" w:hAnsi="Times New Roman" w:cs="Times New Roman"/>
        </w:rPr>
        <w:t xml:space="preserve"> about strategic use of information systems to quantify, manage and </w:t>
      </w:r>
      <w:proofErr w:type="spellStart"/>
      <w:r w:rsidRPr="005227D7">
        <w:rPr>
          <w:rFonts w:ascii="Times New Roman" w:hAnsi="Times New Roman" w:cs="Times New Roman"/>
        </w:rPr>
        <w:t>optimise</w:t>
      </w:r>
      <w:proofErr w:type="spellEnd"/>
      <w:r w:rsidRPr="005227D7">
        <w:rPr>
          <w:rFonts w:ascii="Times New Roman" w:hAnsi="Times New Roman" w:cs="Times New Roman"/>
        </w:rPr>
        <w:t xml:space="preserve"> the sustainability results. Watson et al. (2010) suggested the concept of energy informatics, the implementation of the IS skills to enhance the energy efficiency, stating that the IS can turn </w:t>
      </w:r>
      <w:proofErr w:type="spellStart"/>
      <w:r w:rsidRPr="005227D7">
        <w:rPr>
          <w:rFonts w:ascii="Times New Roman" w:hAnsi="Times New Roman" w:cs="Times New Roman"/>
        </w:rPr>
        <w:t>organisations</w:t>
      </w:r>
      <w:proofErr w:type="spellEnd"/>
      <w:r w:rsidRPr="005227D7">
        <w:rPr>
          <w:rFonts w:ascii="Times New Roman" w:hAnsi="Times New Roman" w:cs="Times New Roman"/>
        </w:rPr>
        <w:t xml:space="preserve"> into the ecologically sustainable </w:t>
      </w:r>
      <w:proofErr w:type="spellStart"/>
      <w:r w:rsidRPr="005227D7">
        <w:rPr>
          <w:rFonts w:ascii="Times New Roman" w:hAnsi="Times New Roman" w:cs="Times New Roman"/>
        </w:rPr>
        <w:t>organisations</w:t>
      </w:r>
      <w:proofErr w:type="spellEnd"/>
      <w:r w:rsidRPr="005227D7">
        <w:rPr>
          <w:rFonts w:ascii="Times New Roman" w:hAnsi="Times New Roman" w:cs="Times New Roman"/>
        </w:rPr>
        <w:t xml:space="preserve">. Practically, Green IS comprises of carbon reporting platforms, energy dashboards, AI-driven workload </w:t>
      </w:r>
      <w:proofErr w:type="spellStart"/>
      <w:r w:rsidRPr="005227D7">
        <w:rPr>
          <w:rFonts w:ascii="Times New Roman" w:hAnsi="Times New Roman" w:cs="Times New Roman"/>
        </w:rPr>
        <w:t>optimisation</w:t>
      </w:r>
      <w:proofErr w:type="spellEnd"/>
      <w:r w:rsidRPr="005227D7">
        <w:rPr>
          <w:rFonts w:ascii="Times New Roman" w:hAnsi="Times New Roman" w:cs="Times New Roman"/>
        </w:rPr>
        <w:t xml:space="preserve">, and automated building management. According to the World Economic Forum (2025), the most promising way to decrease the power consumption is workload efficiency, so that watts of power should provide a worthwhile computing output. Most importantly, both solutions are not sufficient to rely on their own, because without Green IS, there is no governance and measurement, and without the improvements in the infrastructure, Green IS </w:t>
      </w:r>
      <w:proofErr w:type="spellStart"/>
      <w:r w:rsidRPr="005227D7">
        <w:rPr>
          <w:rFonts w:ascii="Times New Roman" w:hAnsi="Times New Roman" w:cs="Times New Roman"/>
        </w:rPr>
        <w:t>is</w:t>
      </w:r>
      <w:proofErr w:type="spellEnd"/>
      <w:r w:rsidRPr="005227D7">
        <w:rPr>
          <w:rFonts w:ascii="Times New Roman" w:hAnsi="Times New Roman" w:cs="Times New Roman"/>
        </w:rPr>
        <w:t xml:space="preserve"> merely a </w:t>
      </w:r>
      <w:r w:rsidRPr="005227D7">
        <w:rPr>
          <w:rFonts w:ascii="Times New Roman" w:hAnsi="Times New Roman" w:cs="Times New Roman"/>
        </w:rPr>
        <w:lastRenderedPageBreak/>
        <w:t xml:space="preserve">reporting exercise. Their combination forms the continuous improvement cycle that is necessary to have future-ready data </w:t>
      </w:r>
      <w:proofErr w:type="spellStart"/>
      <w:r w:rsidRPr="005227D7">
        <w:rPr>
          <w:rFonts w:ascii="Times New Roman" w:hAnsi="Times New Roman" w:cs="Times New Roman"/>
        </w:rPr>
        <w:t>centres</w:t>
      </w:r>
      <w:proofErr w:type="spellEnd"/>
      <w:r w:rsidRPr="005227D7">
        <w:rPr>
          <w:rFonts w:ascii="Times New Roman" w:hAnsi="Times New Roman" w:cs="Times New Roman"/>
        </w:rPr>
        <w:t>.</w:t>
      </w:r>
    </w:p>
    <w:p w14:paraId="1BCFED8A" w14:textId="77777777" w:rsidR="00BD477B" w:rsidRPr="00BD477B" w:rsidRDefault="00BD477B" w:rsidP="00BD477B">
      <w:pPr>
        <w:spacing w:after="140" w:line="360" w:lineRule="auto"/>
        <w:jc w:val="both"/>
        <w:rPr>
          <w:rFonts w:ascii="Times New Roman" w:hAnsi="Times New Roman" w:cs="Times New Roman"/>
        </w:rPr>
      </w:pPr>
    </w:p>
    <w:p w14:paraId="4C4BC162" w14:textId="77777777" w:rsidR="00426A0B" w:rsidRPr="00BD477B" w:rsidRDefault="00000000" w:rsidP="00BD477B">
      <w:pPr>
        <w:pStyle w:val="Heading1"/>
      </w:pPr>
      <w:bookmarkStart w:id="2" w:name="_Toc228211091"/>
      <w:r w:rsidRPr="00BD477B">
        <w:t>3. Equinix’s Sustainability Initiatives</w:t>
      </w:r>
      <w:bookmarkEnd w:id="2"/>
    </w:p>
    <w:p w14:paraId="13016867" w14:textId="6127DCB4" w:rsidR="00F75CA3" w:rsidRDefault="00CF3362" w:rsidP="00BD477B">
      <w:pPr>
        <w:spacing w:after="140" w:line="360" w:lineRule="auto"/>
        <w:jc w:val="both"/>
        <w:rPr>
          <w:rFonts w:ascii="Times New Roman" w:hAnsi="Times New Roman" w:cs="Times New Roman"/>
        </w:rPr>
      </w:pPr>
      <w:r w:rsidRPr="00CF3362">
        <w:rPr>
          <w:rFonts w:ascii="Times New Roman" w:hAnsi="Times New Roman" w:cs="Times New Roman"/>
        </w:rPr>
        <w:t xml:space="preserve">Equinox has incorporated sustainability as a strategic pillar by its Future First framework. The company made a 100 percent global clean energy target by 2030 through power purchase agreements amounting to about 3,250 gigawatt-hours (Equinix, 2025) after reaching 96 percent coverage in 2024, the seventh consecutive year of having a percentage above 90. Equinix enhanced its average PUE to 1.39 and spent USD 51 million on efficiency measures, as well as decreased Scope 1 and 2 emissions by 10% relative to an abacus in 2019 (Sustainability Magazine, 2025). New constructions should strive to achieve LEED or other similar qualification. Equinix offers Green Power Reports that allow customers to monitor the level of energy use, renewable coverage, and carbon footprint on the deployment level (Green IS perspective) and provides the sustainability governance beyond the operator. These are also commercially strategic and Gartner (2023) forecasts that by 2027 75% of </w:t>
      </w:r>
      <w:proofErr w:type="spellStart"/>
      <w:r w:rsidRPr="00CF3362">
        <w:rPr>
          <w:rFonts w:ascii="Times New Roman" w:hAnsi="Times New Roman" w:cs="Times New Roman"/>
        </w:rPr>
        <w:t>organisations</w:t>
      </w:r>
      <w:proofErr w:type="spellEnd"/>
      <w:r w:rsidRPr="00CF3362">
        <w:rPr>
          <w:rFonts w:ascii="Times New Roman" w:hAnsi="Times New Roman" w:cs="Times New Roman"/>
        </w:rPr>
        <w:t xml:space="preserve"> will have data </w:t>
      </w:r>
      <w:proofErr w:type="spellStart"/>
      <w:r w:rsidRPr="00CF3362">
        <w:rPr>
          <w:rFonts w:ascii="Times New Roman" w:hAnsi="Times New Roman" w:cs="Times New Roman"/>
        </w:rPr>
        <w:t>centre</w:t>
      </w:r>
      <w:proofErr w:type="spellEnd"/>
      <w:r w:rsidRPr="00CF3362">
        <w:rPr>
          <w:rFonts w:ascii="Times New Roman" w:hAnsi="Times New Roman" w:cs="Times New Roman"/>
        </w:rPr>
        <w:t xml:space="preserve"> sustainability </w:t>
      </w:r>
      <w:proofErr w:type="spellStart"/>
      <w:r w:rsidRPr="00CF3362">
        <w:rPr>
          <w:rFonts w:ascii="Times New Roman" w:hAnsi="Times New Roman" w:cs="Times New Roman"/>
        </w:rPr>
        <w:t>programmes</w:t>
      </w:r>
      <w:proofErr w:type="spellEnd"/>
      <w:r w:rsidRPr="00CF3362">
        <w:rPr>
          <w:rFonts w:ascii="Times New Roman" w:hAnsi="Times New Roman" w:cs="Times New Roman"/>
        </w:rPr>
        <w:t xml:space="preserve"> in place, which implies that enterprise clients are more inclined to base their selection of providers on their environmental credentials.</w:t>
      </w:r>
    </w:p>
    <w:p w14:paraId="773F17A8" w14:textId="77777777" w:rsidR="00BD477B" w:rsidRPr="00BD477B" w:rsidRDefault="00BD477B" w:rsidP="00BD477B">
      <w:pPr>
        <w:spacing w:after="140" w:line="360" w:lineRule="auto"/>
        <w:jc w:val="both"/>
        <w:rPr>
          <w:rFonts w:ascii="Times New Roman" w:hAnsi="Times New Roman" w:cs="Times New Roman"/>
        </w:rPr>
      </w:pPr>
    </w:p>
    <w:p w14:paraId="605D5859" w14:textId="77777777" w:rsidR="00426A0B" w:rsidRPr="00BD477B" w:rsidRDefault="00000000" w:rsidP="00BD477B">
      <w:pPr>
        <w:pStyle w:val="Heading1"/>
      </w:pPr>
      <w:bookmarkStart w:id="3" w:name="_Toc228211092"/>
      <w:r w:rsidRPr="00BD477B">
        <w:t>4. Technical Implications</w:t>
      </w:r>
      <w:bookmarkEnd w:id="3"/>
    </w:p>
    <w:p w14:paraId="30E2EA05" w14:textId="33A3C747" w:rsidR="00F75CA3" w:rsidRDefault="003774E9" w:rsidP="00BD477B">
      <w:pPr>
        <w:spacing w:after="140" w:line="360" w:lineRule="auto"/>
        <w:jc w:val="both"/>
        <w:rPr>
          <w:rFonts w:ascii="Times New Roman" w:hAnsi="Times New Roman" w:cs="Times New Roman"/>
        </w:rPr>
      </w:pPr>
      <w:r w:rsidRPr="003774E9">
        <w:rPr>
          <w:rFonts w:ascii="Times New Roman" w:hAnsi="Times New Roman" w:cs="Times New Roman"/>
        </w:rPr>
        <w:t xml:space="preserve">The PUE of Equinix of 1.39 is significantly higher than the industry average of 1.56 also reported by the Uptime Institute (2024), which has not been decreasing in the last five years. More energy saving would demand advanced measures: liquid cooling, free-air </w:t>
      </w:r>
      <w:proofErr w:type="spellStart"/>
      <w:r w:rsidRPr="003774E9">
        <w:rPr>
          <w:rFonts w:ascii="Times New Roman" w:hAnsi="Times New Roman" w:cs="Times New Roman"/>
        </w:rPr>
        <w:t>economisation</w:t>
      </w:r>
      <w:proofErr w:type="spellEnd"/>
      <w:r w:rsidRPr="003774E9">
        <w:rPr>
          <w:rFonts w:ascii="Times New Roman" w:hAnsi="Times New Roman" w:cs="Times New Roman"/>
        </w:rPr>
        <w:t xml:space="preserve">, </w:t>
      </w:r>
      <w:proofErr w:type="spellStart"/>
      <w:r w:rsidRPr="003774E9">
        <w:rPr>
          <w:rFonts w:ascii="Times New Roman" w:hAnsi="Times New Roman" w:cs="Times New Roman"/>
        </w:rPr>
        <w:t>virtualisation</w:t>
      </w:r>
      <w:proofErr w:type="spellEnd"/>
      <w:r w:rsidRPr="003774E9">
        <w:rPr>
          <w:rFonts w:ascii="Times New Roman" w:hAnsi="Times New Roman" w:cs="Times New Roman"/>
        </w:rPr>
        <w:t xml:space="preserve"> of the server, and AI-based energy management (IEA, 2025). Equinix has experimented with fuel cell technology that produces electricity with up to 60% efficiency as compared to 35% of traditional combustion, and installed 6 megawatts of on-site solar around the world (Equinix, 2025). There is however, a trade-off that is critical between reduction of energy and reliability. Data </w:t>
      </w:r>
      <w:proofErr w:type="spellStart"/>
      <w:r w:rsidRPr="003774E9">
        <w:rPr>
          <w:rFonts w:ascii="Times New Roman" w:hAnsi="Times New Roman" w:cs="Times New Roman"/>
        </w:rPr>
        <w:t>centres</w:t>
      </w:r>
      <w:proofErr w:type="spellEnd"/>
      <w:r w:rsidRPr="003774E9">
        <w:rPr>
          <w:rFonts w:ascii="Times New Roman" w:hAnsi="Times New Roman" w:cs="Times New Roman"/>
        </w:rPr>
        <w:t xml:space="preserve"> have to provide uptime of a level much better than 99.999% and, at the same time, reduce the consumption. Uptime Institute (2024) emphasizes that operators need to </w:t>
      </w:r>
      <w:proofErr w:type="spellStart"/>
      <w:r w:rsidRPr="003774E9">
        <w:rPr>
          <w:rFonts w:ascii="Times New Roman" w:hAnsi="Times New Roman" w:cs="Times New Roman"/>
        </w:rPr>
        <w:t>prioritise</w:t>
      </w:r>
      <w:proofErr w:type="spellEnd"/>
      <w:r w:rsidRPr="003774E9">
        <w:rPr>
          <w:rFonts w:ascii="Times New Roman" w:hAnsi="Times New Roman" w:cs="Times New Roman"/>
        </w:rPr>
        <w:t xml:space="preserve"> a </w:t>
      </w:r>
      <w:r w:rsidRPr="003774E9">
        <w:rPr>
          <w:rFonts w:ascii="Times New Roman" w:hAnsi="Times New Roman" w:cs="Times New Roman"/>
        </w:rPr>
        <w:lastRenderedPageBreak/>
        <w:t xml:space="preserve">balanced approach to </w:t>
      </w:r>
      <w:proofErr w:type="spellStart"/>
      <w:r w:rsidRPr="003774E9">
        <w:rPr>
          <w:rFonts w:ascii="Times New Roman" w:hAnsi="Times New Roman" w:cs="Times New Roman"/>
        </w:rPr>
        <w:t>optimisation</w:t>
      </w:r>
      <w:proofErr w:type="spellEnd"/>
      <w:r w:rsidRPr="003774E9">
        <w:rPr>
          <w:rFonts w:ascii="Times New Roman" w:hAnsi="Times New Roman" w:cs="Times New Roman"/>
        </w:rPr>
        <w:t xml:space="preserve"> of the availability and efficiency simultaneously instead of focusing on one of them. </w:t>
      </w:r>
    </w:p>
    <w:p w14:paraId="166FD651" w14:textId="77777777" w:rsidR="00BD477B" w:rsidRPr="00BD477B" w:rsidRDefault="00BD477B" w:rsidP="00BD477B">
      <w:pPr>
        <w:spacing w:after="140" w:line="360" w:lineRule="auto"/>
        <w:jc w:val="both"/>
        <w:rPr>
          <w:rFonts w:ascii="Times New Roman" w:hAnsi="Times New Roman" w:cs="Times New Roman"/>
        </w:rPr>
      </w:pPr>
    </w:p>
    <w:p w14:paraId="144BF6E4" w14:textId="77777777" w:rsidR="00426A0B" w:rsidRPr="00BD477B" w:rsidRDefault="00000000" w:rsidP="00BD477B">
      <w:pPr>
        <w:pStyle w:val="Heading1"/>
      </w:pPr>
      <w:bookmarkStart w:id="4" w:name="_Toc228211093"/>
      <w:r w:rsidRPr="00BD477B">
        <w:t>5. Operational Implications</w:t>
      </w:r>
      <w:bookmarkEnd w:id="4"/>
    </w:p>
    <w:p w14:paraId="724DF27C" w14:textId="5ACCA268" w:rsidR="00F75CA3" w:rsidRDefault="00261995" w:rsidP="00BD477B">
      <w:pPr>
        <w:spacing w:after="140" w:line="360" w:lineRule="auto"/>
        <w:jc w:val="both"/>
        <w:rPr>
          <w:rFonts w:ascii="Times New Roman" w:hAnsi="Times New Roman" w:cs="Times New Roman"/>
        </w:rPr>
      </w:pPr>
      <w:r w:rsidRPr="00261995">
        <w:rPr>
          <w:rFonts w:ascii="Times New Roman" w:hAnsi="Times New Roman" w:cs="Times New Roman"/>
        </w:rPr>
        <w:t>The use of green IT/IS transforms the operations in a big way. The procurement of energy becomes more inclined towards cost-carbon intensity-supply security strategies. Personnel require skills in sustainability reporting, and sustainability standards like ISO 50001. Equinix also has ISO 14001, ISO 50001 and ISO 45001 certifications all over the world (Equinix, 2025). Despite the benefits of sustainability in the long run due to efficiency and hedging of energy prices, initial capital is high; since 2020, Equinix has issued more than four billion USD in green bonds (Sustainability Magazine, 2025). However, good sustainability performance boosts customer confidence, regulatory preparedness to the emerging requirements like EU energy efficiency requirements, and competitive advantage in a market where Gartner (2023) predicts that sustainability is going to be a mandatory procurement requirement to enterprise clients.</w:t>
      </w:r>
    </w:p>
    <w:p w14:paraId="4FC489A6" w14:textId="77777777" w:rsidR="00BD477B" w:rsidRPr="00BD477B" w:rsidRDefault="00BD477B" w:rsidP="00BD477B">
      <w:pPr>
        <w:spacing w:after="140" w:line="360" w:lineRule="auto"/>
        <w:jc w:val="both"/>
        <w:rPr>
          <w:rFonts w:ascii="Times New Roman" w:hAnsi="Times New Roman" w:cs="Times New Roman"/>
        </w:rPr>
      </w:pPr>
    </w:p>
    <w:p w14:paraId="7CEB1E4D" w14:textId="77777777" w:rsidR="00426A0B" w:rsidRPr="00BD477B" w:rsidRDefault="00000000" w:rsidP="00BD477B">
      <w:pPr>
        <w:pStyle w:val="Heading1"/>
      </w:pPr>
      <w:bookmarkStart w:id="5" w:name="_Toc228211094"/>
      <w:r w:rsidRPr="00BD477B">
        <w:t>6. Ethical and Social Implications</w:t>
      </w:r>
      <w:bookmarkEnd w:id="5"/>
    </w:p>
    <w:p w14:paraId="7E53EE60" w14:textId="2A7AC93D" w:rsidR="00F75CA3" w:rsidRDefault="006249D0" w:rsidP="00BD477B">
      <w:pPr>
        <w:spacing w:after="140" w:line="360" w:lineRule="auto"/>
        <w:jc w:val="both"/>
        <w:rPr>
          <w:rFonts w:ascii="Times New Roman" w:hAnsi="Times New Roman" w:cs="Times New Roman"/>
        </w:rPr>
      </w:pPr>
      <w:r w:rsidRPr="006249D0">
        <w:rPr>
          <w:rFonts w:ascii="Times New Roman" w:hAnsi="Times New Roman" w:cs="Times New Roman"/>
        </w:rPr>
        <w:t xml:space="preserve">Sustainability of data </w:t>
      </w:r>
      <w:proofErr w:type="spellStart"/>
      <w:r w:rsidRPr="006249D0">
        <w:rPr>
          <w:rFonts w:ascii="Times New Roman" w:hAnsi="Times New Roman" w:cs="Times New Roman"/>
        </w:rPr>
        <w:t>centres</w:t>
      </w:r>
      <w:proofErr w:type="spellEnd"/>
      <w:r w:rsidRPr="006249D0">
        <w:rPr>
          <w:rFonts w:ascii="Times New Roman" w:hAnsi="Times New Roman" w:cs="Times New Roman"/>
        </w:rPr>
        <w:t xml:space="preserve"> presents ethical issues other than efficiency. The increasing energy demand can drive out communities in accessing clean energy. The use of water as an evaporative cooling medium is growing; the Environmental and Energy Study Institute (2025) reports that huge data </w:t>
      </w:r>
      <w:proofErr w:type="spellStart"/>
      <w:r w:rsidRPr="006249D0">
        <w:rPr>
          <w:rFonts w:ascii="Times New Roman" w:hAnsi="Times New Roman" w:cs="Times New Roman"/>
        </w:rPr>
        <w:t>centres</w:t>
      </w:r>
      <w:proofErr w:type="spellEnd"/>
      <w:r w:rsidRPr="006249D0">
        <w:rPr>
          <w:rFonts w:ascii="Times New Roman" w:hAnsi="Times New Roman" w:cs="Times New Roman"/>
        </w:rPr>
        <w:t xml:space="preserve"> can use up to five million gallons per day, an amount that inequitably impacts water-scarce areas. Hardware refresh e-waste adds to the environmental impact. Greenwashing is a serious threat: the operators can state that they are carbon neutral by means of unbundled certificates, without decreasing the real emissions. Equinix tackles this by independently validated reporting in the ISO 14064-3, third-party attestation of all emissions scopes and reporting transparency with CDP and GRI frameworks (Equinix, 2025). A tangible social benefit is shown by the fact that in 2024, the company will have community heat export of 14.5 gigawatt-hours (Sustainability Magazine, 2025). It all depends on sustainability in ethics, but at the end of the day, </w:t>
      </w:r>
      <w:r w:rsidRPr="006249D0">
        <w:rPr>
          <w:rFonts w:ascii="Times New Roman" w:hAnsi="Times New Roman" w:cs="Times New Roman"/>
        </w:rPr>
        <w:lastRenderedPageBreak/>
        <w:t>it involves quantifiable decreases in the absolute environmental impact and not just offsets in the form of certificates.</w:t>
      </w:r>
    </w:p>
    <w:p w14:paraId="0EC79EA7" w14:textId="77777777" w:rsidR="00BD477B" w:rsidRPr="00BD477B" w:rsidRDefault="00BD477B" w:rsidP="00BD477B">
      <w:pPr>
        <w:spacing w:after="140" w:line="360" w:lineRule="auto"/>
        <w:jc w:val="both"/>
        <w:rPr>
          <w:rFonts w:ascii="Times New Roman" w:hAnsi="Times New Roman" w:cs="Times New Roman"/>
        </w:rPr>
      </w:pPr>
    </w:p>
    <w:p w14:paraId="207CDFA7" w14:textId="77777777" w:rsidR="00426A0B" w:rsidRPr="00BD477B" w:rsidRDefault="00000000" w:rsidP="00BD477B">
      <w:pPr>
        <w:pStyle w:val="Heading1"/>
      </w:pPr>
      <w:bookmarkStart w:id="6" w:name="_Toc228211095"/>
      <w:r w:rsidRPr="00BD477B">
        <w:t>7. Challenges and Limitations</w:t>
      </w:r>
      <w:bookmarkEnd w:id="6"/>
    </w:p>
    <w:p w14:paraId="3D7BC400" w14:textId="51DF7333" w:rsidR="00F75CA3" w:rsidRDefault="006249D0" w:rsidP="00BD477B">
      <w:pPr>
        <w:spacing w:after="140" w:line="360" w:lineRule="auto"/>
        <w:jc w:val="both"/>
        <w:rPr>
          <w:rFonts w:ascii="Times New Roman" w:hAnsi="Times New Roman" w:cs="Times New Roman"/>
        </w:rPr>
      </w:pPr>
      <w:r w:rsidRPr="006249D0">
        <w:rPr>
          <w:rFonts w:ascii="Times New Roman" w:hAnsi="Times New Roman" w:cs="Times New Roman"/>
        </w:rPr>
        <w:t xml:space="preserve">Although Equinox is moving in the right direction, there are still challenges within the system. The energy consumption of AI workloads has been increasing faster than any other factor; the IEA (2025) estimates that the consumption of AI-oriented data </w:t>
      </w:r>
      <w:proofErr w:type="spellStart"/>
      <w:r w:rsidRPr="006249D0">
        <w:rPr>
          <w:rFonts w:ascii="Times New Roman" w:hAnsi="Times New Roman" w:cs="Times New Roman"/>
        </w:rPr>
        <w:t>centres</w:t>
      </w:r>
      <w:proofErr w:type="spellEnd"/>
      <w:r w:rsidRPr="006249D0">
        <w:rPr>
          <w:rFonts w:ascii="Times New Roman" w:hAnsi="Times New Roman" w:cs="Times New Roman"/>
        </w:rPr>
        <w:t xml:space="preserve"> will increase threefold by 2030, possibly surpassing the efficiency improvement. Gartner (2024) cautions that the increased demand is going to push towards further dependence on fossil fuel, making it challenging to achieve carbon targets. The Scope 3 emissions of Equinix, which are about 1,435,000 metric </w:t>
      </w:r>
      <w:proofErr w:type="spellStart"/>
      <w:r w:rsidRPr="006249D0">
        <w:rPr>
          <w:rFonts w:ascii="Times New Roman" w:hAnsi="Times New Roman" w:cs="Times New Roman"/>
        </w:rPr>
        <w:t>tonnes</w:t>
      </w:r>
      <w:proofErr w:type="spellEnd"/>
      <w:r w:rsidRPr="006249D0">
        <w:rPr>
          <w:rFonts w:ascii="Times New Roman" w:hAnsi="Times New Roman" w:cs="Times New Roman"/>
        </w:rPr>
        <w:t xml:space="preserve"> of CO2 equivalent in 2024, are still the biggest footprint item, with merely 29 percent of the suppliers having science-based goals (Equinix, 2025). The consumption of water is under increased pressure by the fact that climate change has been increasing the ambient temperatures. The uneven industry maturity was revealed in the Uptime Institute (2024) that showed that less than half the operators measure sustainability metrics required by new regulations. Although the actions of Equinix are one of the best, these limitations demonstrate that the operation of data </w:t>
      </w:r>
      <w:proofErr w:type="spellStart"/>
      <w:r w:rsidRPr="006249D0">
        <w:rPr>
          <w:rFonts w:ascii="Times New Roman" w:hAnsi="Times New Roman" w:cs="Times New Roman"/>
        </w:rPr>
        <w:t>centres</w:t>
      </w:r>
      <w:proofErr w:type="spellEnd"/>
      <w:r w:rsidRPr="006249D0">
        <w:rPr>
          <w:rFonts w:ascii="Times New Roman" w:hAnsi="Times New Roman" w:cs="Times New Roman"/>
        </w:rPr>
        <w:t xml:space="preserve"> even on a truly sustainable level is a highly complicated and dynamic process.</w:t>
      </w:r>
    </w:p>
    <w:p w14:paraId="00651A32" w14:textId="77777777" w:rsidR="00BD477B" w:rsidRPr="00BD477B" w:rsidRDefault="00BD477B" w:rsidP="00BD477B">
      <w:pPr>
        <w:spacing w:after="140" w:line="360" w:lineRule="auto"/>
        <w:jc w:val="both"/>
        <w:rPr>
          <w:rFonts w:ascii="Times New Roman" w:hAnsi="Times New Roman" w:cs="Times New Roman"/>
        </w:rPr>
      </w:pPr>
    </w:p>
    <w:p w14:paraId="27418CE6" w14:textId="77777777" w:rsidR="00426A0B" w:rsidRPr="00BD477B" w:rsidRDefault="00000000" w:rsidP="00BD477B">
      <w:pPr>
        <w:pStyle w:val="Heading1"/>
      </w:pPr>
      <w:bookmarkStart w:id="7" w:name="_Toc228211096"/>
      <w:r w:rsidRPr="00BD477B">
        <w:t>8. Conclusion and Recommendations</w:t>
      </w:r>
      <w:bookmarkEnd w:id="7"/>
    </w:p>
    <w:p w14:paraId="6D503859" w14:textId="2D20B501" w:rsidR="00BD477B" w:rsidRDefault="002E17E1" w:rsidP="00BD477B">
      <w:pPr>
        <w:spacing w:after="140" w:line="360" w:lineRule="auto"/>
        <w:jc w:val="both"/>
        <w:rPr>
          <w:rFonts w:ascii="Times New Roman" w:hAnsi="Times New Roman" w:cs="Times New Roman"/>
        </w:rPr>
      </w:pPr>
      <w:r w:rsidRPr="002E17E1">
        <w:rPr>
          <w:rFonts w:ascii="Times New Roman" w:hAnsi="Times New Roman" w:cs="Times New Roman"/>
        </w:rPr>
        <w:t xml:space="preserve">Green IT contributes to sustainable data </w:t>
      </w:r>
      <w:proofErr w:type="spellStart"/>
      <w:r w:rsidRPr="002E17E1">
        <w:rPr>
          <w:rFonts w:ascii="Times New Roman" w:hAnsi="Times New Roman" w:cs="Times New Roman"/>
        </w:rPr>
        <w:t>centres</w:t>
      </w:r>
      <w:proofErr w:type="spellEnd"/>
      <w:r w:rsidRPr="002E17E1">
        <w:rPr>
          <w:rFonts w:ascii="Times New Roman" w:hAnsi="Times New Roman" w:cs="Times New Roman"/>
        </w:rPr>
        <w:t xml:space="preserve"> by improving the efficiency of the infrastructure through energy efficient hardware, advanced cooling techniques, and renewable energy use, whereas Green IS, based on the concept of energy informatics (Watson et al., 2010), enables sustainability through a framework for decision-making and sustainability governance. The case of Equinix’s Future First strategy shows that it is possible to integrate sustainability into global digital infrastructure, since Equinix enjoys 96% renewable energy cover, the best-in-class PUE, and independent verification of its emissions. Nevertheless, several systemic problems remain relevant, such as AI-induced demands, complex Scope 3, water scarcity, and insufficient industry-level tracking of progress. Recommendations are as follows: more investments in the direct </w:t>
      </w:r>
      <w:r w:rsidRPr="002E17E1">
        <w:rPr>
          <w:rFonts w:ascii="Times New Roman" w:hAnsi="Times New Roman" w:cs="Times New Roman"/>
        </w:rPr>
        <w:lastRenderedPageBreak/>
        <w:t xml:space="preserve">generation of renewable energy rather than in purchasing certificates, more efforts in the management of Scope 3, AI-assisted cooling and load management, circularity of hardware use, and verification of sustainability results. </w:t>
      </w:r>
    </w:p>
    <w:p w14:paraId="69FBA1A3" w14:textId="77777777" w:rsidR="00AD1B84" w:rsidRDefault="00AD1B84" w:rsidP="00BD477B">
      <w:pPr>
        <w:spacing w:after="140" w:line="360" w:lineRule="auto"/>
        <w:jc w:val="both"/>
        <w:rPr>
          <w:rFonts w:ascii="Times New Roman" w:hAnsi="Times New Roman" w:cs="Times New Roman"/>
        </w:rPr>
      </w:pPr>
    </w:p>
    <w:p w14:paraId="1F85F13D" w14:textId="77777777" w:rsidR="00AD1B84" w:rsidRDefault="00AD1B84" w:rsidP="00BD477B">
      <w:pPr>
        <w:spacing w:after="140" w:line="360" w:lineRule="auto"/>
        <w:jc w:val="both"/>
        <w:rPr>
          <w:rFonts w:ascii="Times New Roman" w:hAnsi="Times New Roman" w:cs="Times New Roman"/>
        </w:rPr>
      </w:pPr>
    </w:p>
    <w:p w14:paraId="66C96683" w14:textId="77777777" w:rsidR="00AD1B84" w:rsidRDefault="00AD1B84" w:rsidP="00BD477B">
      <w:pPr>
        <w:spacing w:after="140" w:line="360" w:lineRule="auto"/>
        <w:jc w:val="both"/>
        <w:rPr>
          <w:rFonts w:ascii="Times New Roman" w:hAnsi="Times New Roman" w:cs="Times New Roman"/>
        </w:rPr>
      </w:pPr>
    </w:p>
    <w:p w14:paraId="4631DF4A" w14:textId="77777777" w:rsidR="00AD1B84" w:rsidRDefault="00AD1B84" w:rsidP="00BD477B">
      <w:pPr>
        <w:spacing w:after="140" w:line="360" w:lineRule="auto"/>
        <w:jc w:val="both"/>
        <w:rPr>
          <w:rFonts w:ascii="Times New Roman" w:hAnsi="Times New Roman" w:cs="Times New Roman"/>
        </w:rPr>
      </w:pPr>
    </w:p>
    <w:p w14:paraId="272C1B53" w14:textId="77777777" w:rsidR="00AD1B84" w:rsidRDefault="00AD1B84" w:rsidP="00BD477B">
      <w:pPr>
        <w:spacing w:after="140" w:line="360" w:lineRule="auto"/>
        <w:jc w:val="both"/>
        <w:rPr>
          <w:rFonts w:ascii="Times New Roman" w:hAnsi="Times New Roman" w:cs="Times New Roman"/>
        </w:rPr>
      </w:pPr>
    </w:p>
    <w:p w14:paraId="76DA1E4E" w14:textId="77777777" w:rsidR="00AD1B84" w:rsidRDefault="00AD1B84" w:rsidP="00BD477B">
      <w:pPr>
        <w:spacing w:after="140" w:line="360" w:lineRule="auto"/>
        <w:jc w:val="both"/>
        <w:rPr>
          <w:rFonts w:ascii="Times New Roman" w:hAnsi="Times New Roman" w:cs="Times New Roman"/>
        </w:rPr>
      </w:pPr>
    </w:p>
    <w:p w14:paraId="78AF8243" w14:textId="77777777" w:rsidR="00AD1B84" w:rsidRDefault="00AD1B84" w:rsidP="00BD477B">
      <w:pPr>
        <w:spacing w:after="140" w:line="360" w:lineRule="auto"/>
        <w:jc w:val="both"/>
        <w:rPr>
          <w:rFonts w:ascii="Times New Roman" w:hAnsi="Times New Roman" w:cs="Times New Roman"/>
        </w:rPr>
      </w:pPr>
    </w:p>
    <w:p w14:paraId="0690680B" w14:textId="77777777" w:rsidR="00AD1B84" w:rsidRDefault="00AD1B84" w:rsidP="00BD477B">
      <w:pPr>
        <w:spacing w:after="140" w:line="360" w:lineRule="auto"/>
        <w:jc w:val="both"/>
        <w:rPr>
          <w:rFonts w:ascii="Times New Roman" w:hAnsi="Times New Roman" w:cs="Times New Roman"/>
        </w:rPr>
      </w:pPr>
    </w:p>
    <w:p w14:paraId="77650812" w14:textId="77777777" w:rsidR="00AD1B84" w:rsidRDefault="00AD1B84" w:rsidP="00BD477B">
      <w:pPr>
        <w:spacing w:after="140" w:line="360" w:lineRule="auto"/>
        <w:jc w:val="both"/>
        <w:rPr>
          <w:rFonts w:ascii="Times New Roman" w:hAnsi="Times New Roman" w:cs="Times New Roman"/>
        </w:rPr>
      </w:pPr>
    </w:p>
    <w:p w14:paraId="2DA639E4" w14:textId="77777777" w:rsidR="00AD1B84" w:rsidRDefault="00AD1B84" w:rsidP="00BD477B">
      <w:pPr>
        <w:spacing w:after="140" w:line="360" w:lineRule="auto"/>
        <w:jc w:val="both"/>
        <w:rPr>
          <w:rFonts w:ascii="Times New Roman" w:hAnsi="Times New Roman" w:cs="Times New Roman"/>
        </w:rPr>
      </w:pPr>
    </w:p>
    <w:p w14:paraId="410FB396" w14:textId="77777777" w:rsidR="00AD1B84" w:rsidRDefault="00AD1B84" w:rsidP="00BD477B">
      <w:pPr>
        <w:spacing w:after="140" w:line="360" w:lineRule="auto"/>
        <w:jc w:val="both"/>
        <w:rPr>
          <w:rFonts w:ascii="Times New Roman" w:hAnsi="Times New Roman" w:cs="Times New Roman"/>
        </w:rPr>
      </w:pPr>
    </w:p>
    <w:p w14:paraId="0A1D7D5B" w14:textId="77777777" w:rsidR="00AD1B84" w:rsidRDefault="00AD1B84" w:rsidP="00BD477B">
      <w:pPr>
        <w:spacing w:after="140" w:line="360" w:lineRule="auto"/>
        <w:jc w:val="both"/>
        <w:rPr>
          <w:rFonts w:ascii="Times New Roman" w:hAnsi="Times New Roman" w:cs="Times New Roman"/>
        </w:rPr>
      </w:pPr>
    </w:p>
    <w:p w14:paraId="76472D1C" w14:textId="77777777" w:rsidR="00AD1B84" w:rsidRDefault="00AD1B84" w:rsidP="00BD477B">
      <w:pPr>
        <w:spacing w:after="140" w:line="360" w:lineRule="auto"/>
        <w:jc w:val="both"/>
        <w:rPr>
          <w:rFonts w:ascii="Times New Roman" w:hAnsi="Times New Roman" w:cs="Times New Roman"/>
        </w:rPr>
      </w:pPr>
    </w:p>
    <w:p w14:paraId="6947DEAE" w14:textId="77777777" w:rsidR="00AD1B84" w:rsidRDefault="00AD1B84" w:rsidP="00BD477B">
      <w:pPr>
        <w:spacing w:after="140" w:line="360" w:lineRule="auto"/>
        <w:jc w:val="both"/>
        <w:rPr>
          <w:rFonts w:ascii="Times New Roman" w:hAnsi="Times New Roman" w:cs="Times New Roman"/>
        </w:rPr>
      </w:pPr>
    </w:p>
    <w:p w14:paraId="59CE3E04" w14:textId="77777777" w:rsidR="00AD1B84" w:rsidRDefault="00AD1B84" w:rsidP="00BD477B">
      <w:pPr>
        <w:spacing w:after="140" w:line="360" w:lineRule="auto"/>
        <w:jc w:val="both"/>
        <w:rPr>
          <w:rFonts w:ascii="Times New Roman" w:hAnsi="Times New Roman" w:cs="Times New Roman"/>
        </w:rPr>
      </w:pPr>
    </w:p>
    <w:p w14:paraId="2103509F" w14:textId="77777777" w:rsidR="00AD1B84" w:rsidRDefault="00AD1B84" w:rsidP="00BD477B">
      <w:pPr>
        <w:spacing w:after="140" w:line="360" w:lineRule="auto"/>
        <w:jc w:val="both"/>
        <w:rPr>
          <w:rFonts w:ascii="Times New Roman" w:hAnsi="Times New Roman" w:cs="Times New Roman"/>
        </w:rPr>
      </w:pPr>
    </w:p>
    <w:p w14:paraId="6F2C8414" w14:textId="77777777" w:rsidR="00AD1B84" w:rsidRDefault="00AD1B84" w:rsidP="00BD477B">
      <w:pPr>
        <w:spacing w:after="140" w:line="360" w:lineRule="auto"/>
        <w:jc w:val="both"/>
        <w:rPr>
          <w:rFonts w:ascii="Times New Roman" w:hAnsi="Times New Roman" w:cs="Times New Roman"/>
        </w:rPr>
      </w:pPr>
    </w:p>
    <w:p w14:paraId="490E9A36" w14:textId="77777777" w:rsidR="00AD1B84" w:rsidRDefault="00AD1B84" w:rsidP="00BD477B">
      <w:pPr>
        <w:spacing w:after="140" w:line="360" w:lineRule="auto"/>
        <w:jc w:val="both"/>
        <w:rPr>
          <w:rFonts w:ascii="Times New Roman" w:hAnsi="Times New Roman" w:cs="Times New Roman"/>
        </w:rPr>
      </w:pPr>
    </w:p>
    <w:p w14:paraId="2E833C90" w14:textId="77777777" w:rsidR="00AD1B84" w:rsidRDefault="00AD1B84" w:rsidP="00BD477B">
      <w:pPr>
        <w:spacing w:after="140" w:line="360" w:lineRule="auto"/>
        <w:jc w:val="both"/>
        <w:rPr>
          <w:rFonts w:ascii="Times New Roman" w:hAnsi="Times New Roman" w:cs="Times New Roman"/>
        </w:rPr>
      </w:pPr>
    </w:p>
    <w:p w14:paraId="6E9A6BA9" w14:textId="77777777" w:rsidR="00AD1B84" w:rsidRPr="00BD477B" w:rsidRDefault="00AD1B84" w:rsidP="00BD477B">
      <w:pPr>
        <w:spacing w:after="140" w:line="360" w:lineRule="auto"/>
        <w:jc w:val="both"/>
        <w:rPr>
          <w:rFonts w:ascii="Times New Roman" w:hAnsi="Times New Roman" w:cs="Times New Roman"/>
        </w:rPr>
      </w:pPr>
    </w:p>
    <w:p w14:paraId="26A4CCBC" w14:textId="77777777" w:rsidR="00426A0B" w:rsidRPr="00BD477B" w:rsidRDefault="00000000" w:rsidP="00BD477B">
      <w:pPr>
        <w:pStyle w:val="Heading1"/>
      </w:pPr>
      <w:bookmarkStart w:id="8" w:name="_Toc228211097"/>
      <w:r w:rsidRPr="00BD477B">
        <w:lastRenderedPageBreak/>
        <w:t>References</w:t>
      </w:r>
      <w:bookmarkEnd w:id="8"/>
    </w:p>
    <w:p w14:paraId="1B4F13C1" w14:textId="26A6E0BA"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Environmental and Energy Study Institute. (2025). Data centers and water consumption. </w:t>
      </w:r>
      <w:hyperlink r:id="rId6" w:history="1">
        <w:r w:rsidR="00BD477B" w:rsidRPr="0082796D">
          <w:rPr>
            <w:rStyle w:val="Hyperlink"/>
            <w:rFonts w:ascii="Times New Roman" w:hAnsi="Times New Roman" w:cs="Times New Roman"/>
          </w:rPr>
          <w:t>https://www.eesi.org/articles/view/data-centers-and-water-consumption</w:t>
        </w:r>
      </w:hyperlink>
      <w:r w:rsidR="00BD477B">
        <w:rPr>
          <w:rFonts w:ascii="Times New Roman" w:hAnsi="Times New Roman" w:cs="Times New Roman"/>
        </w:rPr>
        <w:t xml:space="preserve"> </w:t>
      </w:r>
    </w:p>
    <w:p w14:paraId="43B58338" w14:textId="682FF168"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Equinix. (2025). 2025 sustainability report. </w:t>
      </w:r>
      <w:hyperlink r:id="rId7" w:history="1">
        <w:r w:rsidR="00BD477B" w:rsidRPr="00BD477B">
          <w:rPr>
            <w:rStyle w:val="Hyperlink"/>
            <w:rFonts w:ascii="Times New Roman" w:hAnsi="Times New Roman" w:cs="Times New Roman"/>
          </w:rPr>
          <w:t>https://sustainability.equinix.com/</w:t>
        </w:r>
      </w:hyperlink>
      <w:r w:rsidR="00BD477B" w:rsidRPr="00BD477B">
        <w:rPr>
          <w:rFonts w:ascii="Times New Roman" w:hAnsi="Times New Roman" w:cs="Times New Roman"/>
        </w:rPr>
        <w:t xml:space="preserve"> </w:t>
      </w:r>
    </w:p>
    <w:p w14:paraId="2577C659" w14:textId="6B9F7CAE"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Gartner. (2023, May 2). Gartner predicts 75% of organizations will have implemented a data center infrastructure sustainability program by 2027 [Press release]. </w:t>
      </w:r>
      <w:hyperlink r:id="rId8" w:history="1">
        <w:r w:rsidR="00BD477B" w:rsidRPr="00BD477B">
          <w:rPr>
            <w:rStyle w:val="Hyperlink"/>
            <w:rFonts w:ascii="Times New Roman" w:hAnsi="Times New Roman" w:cs="Times New Roman"/>
          </w:rPr>
          <w:t>https://www.gartner.com/en/newsroom/press-releases/2023-05-02-gartner-predicts-75-percent-of-organizations-will-have-implemented-a-data-center-infrastructure-sustainability-program-by-2027</w:t>
        </w:r>
      </w:hyperlink>
      <w:r w:rsidR="00BD477B" w:rsidRPr="00BD477B">
        <w:rPr>
          <w:rFonts w:ascii="Times New Roman" w:hAnsi="Times New Roman" w:cs="Times New Roman"/>
        </w:rPr>
        <w:t xml:space="preserve"> </w:t>
      </w:r>
    </w:p>
    <w:p w14:paraId="7F011759" w14:textId="16E96744"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Gartner. (2024, November 12). Gartner predicts power shortages will restrict 40% of AI data centers by 2027 [Press release]. </w:t>
      </w:r>
      <w:hyperlink r:id="rId9" w:history="1">
        <w:r w:rsidR="00BD477B" w:rsidRPr="00BD477B">
          <w:rPr>
            <w:rStyle w:val="Hyperlink"/>
            <w:rFonts w:ascii="Times New Roman" w:hAnsi="Times New Roman" w:cs="Times New Roman"/>
          </w:rPr>
          <w:t>https://www.gartner.com/en/newsroom/press-releases/2024-11-12-gartner-predicts-power-shortages-will-restrict-40-percent-of-ai-data-centers-by-20270</w:t>
        </w:r>
      </w:hyperlink>
      <w:r w:rsidR="00BD477B" w:rsidRPr="00BD477B">
        <w:rPr>
          <w:rFonts w:ascii="Times New Roman" w:hAnsi="Times New Roman" w:cs="Times New Roman"/>
        </w:rPr>
        <w:t xml:space="preserve"> </w:t>
      </w:r>
    </w:p>
    <w:p w14:paraId="67E9BB6C" w14:textId="64674D85"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International Energy Agency. (2025). Energy and AI. IEA. </w:t>
      </w:r>
      <w:hyperlink r:id="rId10" w:history="1">
        <w:r w:rsidR="00BD477B" w:rsidRPr="00BD477B">
          <w:rPr>
            <w:rStyle w:val="Hyperlink"/>
            <w:rFonts w:ascii="Times New Roman" w:hAnsi="Times New Roman" w:cs="Times New Roman"/>
          </w:rPr>
          <w:t>https://www.iea.org/reports/energy-and-ai</w:t>
        </w:r>
      </w:hyperlink>
      <w:r w:rsidR="00BD477B" w:rsidRPr="00BD477B">
        <w:rPr>
          <w:rFonts w:ascii="Times New Roman" w:hAnsi="Times New Roman" w:cs="Times New Roman"/>
        </w:rPr>
        <w:t xml:space="preserve"> </w:t>
      </w:r>
    </w:p>
    <w:p w14:paraId="0CC81573" w14:textId="5081898E"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Murugesan, S. (2008). Harnessing Green IT: Principles and practices. IT Professional, 10(1), 24–33. </w:t>
      </w:r>
      <w:hyperlink r:id="rId11" w:history="1">
        <w:r w:rsidR="00BD477B" w:rsidRPr="00BD477B">
          <w:rPr>
            <w:rStyle w:val="Hyperlink"/>
            <w:rFonts w:ascii="Times New Roman" w:hAnsi="Times New Roman" w:cs="Times New Roman"/>
          </w:rPr>
          <w:t>https://doi.org/10.1109/MITP.2008.10</w:t>
        </w:r>
      </w:hyperlink>
      <w:r w:rsidR="00BD477B" w:rsidRPr="00BD477B">
        <w:rPr>
          <w:rFonts w:ascii="Times New Roman" w:hAnsi="Times New Roman" w:cs="Times New Roman"/>
        </w:rPr>
        <w:t xml:space="preserve"> </w:t>
      </w:r>
    </w:p>
    <w:p w14:paraId="72EB8FE0" w14:textId="06FF6915"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Sustainability Magazine. (2025, April 29). Equinix advances sustainability with Future First strategy. </w:t>
      </w:r>
      <w:hyperlink r:id="rId12" w:history="1">
        <w:r w:rsidR="00BD477B" w:rsidRPr="00BD477B">
          <w:rPr>
            <w:rStyle w:val="Hyperlink"/>
            <w:rFonts w:ascii="Times New Roman" w:hAnsi="Times New Roman" w:cs="Times New Roman"/>
          </w:rPr>
          <w:t>https://sustainabilitymag.com/articles/equinix-advances-sustainability-with-future-first-strategy</w:t>
        </w:r>
      </w:hyperlink>
      <w:r w:rsidR="00BD477B" w:rsidRPr="00BD477B">
        <w:rPr>
          <w:rFonts w:ascii="Times New Roman" w:hAnsi="Times New Roman" w:cs="Times New Roman"/>
        </w:rPr>
        <w:t xml:space="preserve"> </w:t>
      </w:r>
    </w:p>
    <w:p w14:paraId="51FB7FEE" w14:textId="31AABC05"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 xml:space="preserve">Uptime Institute. (2024). Global data center survey 2024. </w:t>
      </w:r>
      <w:hyperlink r:id="rId13" w:history="1">
        <w:r w:rsidR="00BD477B" w:rsidRPr="00BD477B">
          <w:rPr>
            <w:rStyle w:val="Hyperlink"/>
            <w:rFonts w:ascii="Times New Roman" w:hAnsi="Times New Roman" w:cs="Times New Roman"/>
          </w:rPr>
          <w:t>https://uptimeinstitute.com/resources/research-and-reports/uptime-institute-global-data-center-survey-results-2024</w:t>
        </w:r>
      </w:hyperlink>
      <w:r w:rsidR="00BD477B" w:rsidRPr="00BD477B">
        <w:rPr>
          <w:rFonts w:ascii="Times New Roman" w:hAnsi="Times New Roman" w:cs="Times New Roman"/>
        </w:rPr>
        <w:t xml:space="preserve"> </w:t>
      </w:r>
    </w:p>
    <w:p w14:paraId="3867BB88" w14:textId="17CF4162"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t>Watson, R. T., Boudreau, M.‑C., &amp; Chen, A. J. (2010). Information systems and environmentally sustainable development: Energy informatics and new directions for the IS community. MIS Quarterly, 34(1), 23–38.</w:t>
      </w:r>
    </w:p>
    <w:p w14:paraId="7E9223B9" w14:textId="16FA038C" w:rsidR="00426A0B" w:rsidRPr="00BD477B" w:rsidRDefault="00000000" w:rsidP="00BD477B">
      <w:pPr>
        <w:spacing w:after="140" w:line="360" w:lineRule="auto"/>
        <w:ind w:left="720" w:hanging="720"/>
        <w:rPr>
          <w:rFonts w:ascii="Times New Roman" w:hAnsi="Times New Roman" w:cs="Times New Roman"/>
        </w:rPr>
      </w:pPr>
      <w:r w:rsidRPr="00BD477B">
        <w:rPr>
          <w:rFonts w:ascii="Times New Roman" w:hAnsi="Times New Roman" w:cs="Times New Roman"/>
        </w:rPr>
        <w:lastRenderedPageBreak/>
        <w:t xml:space="preserve">World Economic Forum. (2025, December). How data </w:t>
      </w:r>
      <w:proofErr w:type="spellStart"/>
      <w:r w:rsidRPr="00BD477B">
        <w:rPr>
          <w:rFonts w:ascii="Times New Roman" w:hAnsi="Times New Roman" w:cs="Times New Roman"/>
        </w:rPr>
        <w:t>centres</w:t>
      </w:r>
      <w:proofErr w:type="spellEnd"/>
      <w:r w:rsidRPr="00BD477B">
        <w:rPr>
          <w:rFonts w:ascii="Times New Roman" w:hAnsi="Times New Roman" w:cs="Times New Roman"/>
        </w:rPr>
        <w:t xml:space="preserve"> can avoid doubling their energy use by 2030. </w:t>
      </w:r>
      <w:hyperlink r:id="rId14" w:history="1">
        <w:r w:rsidR="00BD477B" w:rsidRPr="00BD477B">
          <w:rPr>
            <w:rStyle w:val="Hyperlink"/>
            <w:rFonts w:ascii="Times New Roman" w:hAnsi="Times New Roman" w:cs="Times New Roman"/>
          </w:rPr>
          <w:t>https://www.weforum.org/stories/2025/12/data-centres-and-energy-demand/</w:t>
        </w:r>
      </w:hyperlink>
      <w:r w:rsidR="00BD477B" w:rsidRPr="00BD477B">
        <w:rPr>
          <w:rFonts w:ascii="Times New Roman" w:hAnsi="Times New Roman" w:cs="Times New Roman"/>
        </w:rPr>
        <w:t xml:space="preserve"> </w:t>
      </w:r>
    </w:p>
    <w:sectPr w:rsidR="00426A0B" w:rsidRPr="00BD477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C0BF7"/>
    <w:multiLevelType w:val="hybridMultilevel"/>
    <w:tmpl w:val="4EFA5D60"/>
    <w:lvl w:ilvl="0" w:tplc="C64833E4">
      <w:start w:val="1"/>
      <w:numFmt w:val="bullet"/>
      <w:lvlText w:val="●"/>
      <w:lvlJc w:val="left"/>
      <w:pPr>
        <w:ind w:left="720" w:hanging="360"/>
      </w:pPr>
    </w:lvl>
    <w:lvl w:ilvl="1" w:tplc="FA88CB2C">
      <w:start w:val="1"/>
      <w:numFmt w:val="bullet"/>
      <w:lvlText w:val="○"/>
      <w:lvlJc w:val="left"/>
      <w:pPr>
        <w:ind w:left="1440" w:hanging="360"/>
      </w:pPr>
    </w:lvl>
    <w:lvl w:ilvl="2" w:tplc="CC101076">
      <w:start w:val="1"/>
      <w:numFmt w:val="bullet"/>
      <w:lvlText w:val="■"/>
      <w:lvlJc w:val="left"/>
      <w:pPr>
        <w:ind w:left="2160" w:hanging="360"/>
      </w:pPr>
    </w:lvl>
    <w:lvl w:ilvl="3" w:tplc="F7E83F8E">
      <w:start w:val="1"/>
      <w:numFmt w:val="bullet"/>
      <w:lvlText w:val="●"/>
      <w:lvlJc w:val="left"/>
      <w:pPr>
        <w:ind w:left="2880" w:hanging="360"/>
      </w:pPr>
    </w:lvl>
    <w:lvl w:ilvl="4" w:tplc="816C7F92">
      <w:start w:val="1"/>
      <w:numFmt w:val="bullet"/>
      <w:lvlText w:val="○"/>
      <w:lvlJc w:val="left"/>
      <w:pPr>
        <w:ind w:left="3600" w:hanging="360"/>
      </w:pPr>
    </w:lvl>
    <w:lvl w:ilvl="5" w:tplc="9F02C1E8">
      <w:start w:val="1"/>
      <w:numFmt w:val="bullet"/>
      <w:lvlText w:val="■"/>
      <w:lvlJc w:val="left"/>
      <w:pPr>
        <w:ind w:left="4320" w:hanging="360"/>
      </w:pPr>
    </w:lvl>
    <w:lvl w:ilvl="6" w:tplc="76FAB766">
      <w:start w:val="1"/>
      <w:numFmt w:val="bullet"/>
      <w:lvlText w:val="●"/>
      <w:lvlJc w:val="left"/>
      <w:pPr>
        <w:ind w:left="5040" w:hanging="360"/>
      </w:pPr>
    </w:lvl>
    <w:lvl w:ilvl="7" w:tplc="3A1A8A36">
      <w:start w:val="1"/>
      <w:numFmt w:val="bullet"/>
      <w:lvlText w:val="●"/>
      <w:lvlJc w:val="left"/>
      <w:pPr>
        <w:ind w:left="5760" w:hanging="360"/>
      </w:pPr>
    </w:lvl>
    <w:lvl w:ilvl="8" w:tplc="E34A527C">
      <w:start w:val="1"/>
      <w:numFmt w:val="bullet"/>
      <w:lvlText w:val="●"/>
      <w:lvlJc w:val="left"/>
      <w:pPr>
        <w:ind w:left="6480" w:hanging="360"/>
      </w:pPr>
    </w:lvl>
  </w:abstractNum>
  <w:num w:numId="1" w16cid:durableId="14900589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A0B"/>
    <w:rsid w:val="00261995"/>
    <w:rsid w:val="002E17E1"/>
    <w:rsid w:val="003774E9"/>
    <w:rsid w:val="00426A0B"/>
    <w:rsid w:val="00466D7D"/>
    <w:rsid w:val="005227D7"/>
    <w:rsid w:val="006249D0"/>
    <w:rsid w:val="00806330"/>
    <w:rsid w:val="008B75F3"/>
    <w:rsid w:val="00AD1B84"/>
    <w:rsid w:val="00BD477B"/>
    <w:rsid w:val="00CF3362"/>
    <w:rsid w:val="00D85F77"/>
    <w:rsid w:val="00F7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5DEB"/>
  <w15:docId w15:val="{F318C79A-9699-42C6-9534-EEC3EF4A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BD477B"/>
    <w:pPr>
      <w:spacing w:before="320" w:after="200" w:line="360" w:lineRule="auto"/>
      <w:outlineLvl w:val="0"/>
    </w:pPr>
    <w:rPr>
      <w:rFonts w:ascii="Times New Roman" w:hAnsi="Times New Roman" w:cs="Times New Roman"/>
      <w:b/>
      <w:bCs/>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D477B"/>
    <w:rPr>
      <w:color w:val="605E5C"/>
      <w:shd w:val="clear" w:color="auto" w:fill="E1DFDD"/>
    </w:rPr>
  </w:style>
  <w:style w:type="character" w:styleId="FollowedHyperlink">
    <w:name w:val="FollowedHyperlink"/>
    <w:basedOn w:val="DefaultParagraphFont"/>
    <w:uiPriority w:val="99"/>
    <w:semiHidden/>
    <w:unhideWhenUsed/>
    <w:rsid w:val="00BD477B"/>
    <w:rPr>
      <w:color w:val="96607D" w:themeColor="followedHyperlink"/>
      <w:u w:val="single"/>
    </w:rPr>
  </w:style>
  <w:style w:type="paragraph" w:styleId="TOCHeading">
    <w:name w:val="TOC Heading"/>
    <w:basedOn w:val="Heading1"/>
    <w:next w:val="Normal"/>
    <w:uiPriority w:val="39"/>
    <w:unhideWhenUsed/>
    <w:qFormat/>
    <w:rsid w:val="00BD477B"/>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BD477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tner.com/en/newsroom/press-releases/2023-05-02-gartner-predicts-75-percent-of-organizations-will-have-implemented-a-data-center-infrastructure-sustainability-program-by-2027" TargetMode="External"/><Relationship Id="rId13" Type="http://schemas.openxmlformats.org/officeDocument/2006/relationships/hyperlink" Target="https://uptimeinstitute.com/resources/research-and-reports/uptime-institute-global-data-center-survey-results-2024" TargetMode="External"/><Relationship Id="rId3" Type="http://schemas.openxmlformats.org/officeDocument/2006/relationships/styles" Target="styles.xml"/><Relationship Id="rId7" Type="http://schemas.openxmlformats.org/officeDocument/2006/relationships/hyperlink" Target="https://sustainability.equinix.com/" TargetMode="External"/><Relationship Id="rId12" Type="http://schemas.openxmlformats.org/officeDocument/2006/relationships/hyperlink" Target="https://sustainabilitymag.com/articles/equinix-advances-sustainability-with-future-first-strateg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eesi.org/articles/view/data-centers-and-water-consumption" TargetMode="External"/><Relationship Id="rId11" Type="http://schemas.openxmlformats.org/officeDocument/2006/relationships/hyperlink" Target="https://doi.org/10.1109/MITP.200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ea.org/reports/energy-and-ai" TargetMode="External"/><Relationship Id="rId4" Type="http://schemas.openxmlformats.org/officeDocument/2006/relationships/settings" Target="settings.xml"/><Relationship Id="rId9" Type="http://schemas.openxmlformats.org/officeDocument/2006/relationships/hyperlink" Target="https://www.gartner.com/en/newsroom/press-releases/2024-11-12-gartner-predicts-power-shortages-will-restrict-40-percent-of-ai-data-centers-by-20270" TargetMode="External"/><Relationship Id="rId14" Type="http://schemas.openxmlformats.org/officeDocument/2006/relationships/hyperlink" Target="https://www.weforum.org/stories/2025/12/data-centres-and-energy-dem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837A0-438A-4EBB-A854-B6877BB1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1972</Words>
  <Characters>11246</Characters>
  <Application>Microsoft Office Word</Application>
  <DocSecurity>0</DocSecurity>
  <Lines>93</Lines>
  <Paragraphs>26</Paragraphs>
  <ScaleCrop>false</ScaleCrop>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Dipesh</cp:lastModifiedBy>
  <cp:revision>21</cp:revision>
  <dcterms:created xsi:type="dcterms:W3CDTF">2026-04-27T13:47:00Z</dcterms:created>
  <dcterms:modified xsi:type="dcterms:W3CDTF">2026-04-27T16:23:00Z</dcterms:modified>
</cp:coreProperties>
</file>