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E68B6" w14:textId="77777777" w:rsidR="00B3606E" w:rsidRPr="00B3606E" w:rsidRDefault="00B3606E" w:rsidP="00B3606E">
      <w:pPr>
        <w:spacing w:line="360" w:lineRule="auto"/>
        <w:jc w:val="center"/>
        <w:rPr>
          <w:b/>
          <w:sz w:val="32"/>
        </w:rPr>
      </w:pPr>
      <w:r w:rsidRPr="00B3606E">
        <w:rPr>
          <w:b/>
          <w:bCs/>
          <w:sz w:val="32"/>
        </w:rPr>
        <w:t>LAW514 Commercial Law</w:t>
      </w:r>
    </w:p>
    <w:p w14:paraId="0363DFA5" w14:textId="77777777" w:rsidR="00B3606E" w:rsidRDefault="00B3606E" w:rsidP="00B3606E">
      <w:pPr>
        <w:spacing w:line="360" w:lineRule="auto"/>
        <w:jc w:val="center"/>
        <w:rPr>
          <w:b/>
          <w:bCs/>
          <w:sz w:val="32"/>
        </w:rPr>
      </w:pPr>
      <w:r w:rsidRPr="00B3606E">
        <w:rPr>
          <w:b/>
          <w:bCs/>
          <w:sz w:val="32"/>
        </w:rPr>
        <w:t>Assessment 2 – Case Study Problem-Based Question</w:t>
      </w:r>
    </w:p>
    <w:p w14:paraId="77ECD5B9" w14:textId="77777777" w:rsidR="00B3606E" w:rsidRDefault="00B3606E" w:rsidP="00B3606E">
      <w:pPr>
        <w:spacing w:line="360" w:lineRule="auto"/>
        <w:jc w:val="center"/>
        <w:rPr>
          <w:b/>
          <w:sz w:val="32"/>
        </w:rPr>
      </w:pPr>
    </w:p>
    <w:p w14:paraId="3AAC99D7" w14:textId="77777777" w:rsidR="00490484" w:rsidRDefault="00490484" w:rsidP="00B3606E">
      <w:pPr>
        <w:spacing w:line="360" w:lineRule="auto"/>
        <w:jc w:val="center"/>
        <w:rPr>
          <w:b/>
          <w:sz w:val="32"/>
        </w:rPr>
      </w:pPr>
    </w:p>
    <w:p w14:paraId="30986F78" w14:textId="77777777" w:rsidR="00490484" w:rsidRPr="00B3606E" w:rsidRDefault="00490484" w:rsidP="00B3606E">
      <w:pPr>
        <w:spacing w:line="360" w:lineRule="auto"/>
        <w:jc w:val="center"/>
        <w:rPr>
          <w:b/>
          <w:sz w:val="32"/>
        </w:rPr>
      </w:pPr>
    </w:p>
    <w:p w14:paraId="29876208" w14:textId="77777777" w:rsidR="00B3606E" w:rsidRDefault="00B3606E" w:rsidP="00B3606E">
      <w:pPr>
        <w:spacing w:line="360" w:lineRule="auto"/>
        <w:jc w:val="center"/>
        <w:rPr>
          <w:b/>
          <w:bCs/>
          <w:sz w:val="32"/>
        </w:rPr>
      </w:pPr>
      <w:r w:rsidRPr="00B3606E">
        <w:rPr>
          <w:b/>
          <w:bCs/>
          <w:sz w:val="32"/>
        </w:rPr>
        <w:t>Commercial Law</w:t>
      </w:r>
    </w:p>
    <w:p w14:paraId="70DCE7F6" w14:textId="77777777" w:rsidR="00B3606E" w:rsidRDefault="00B3606E" w:rsidP="00B3606E">
      <w:pPr>
        <w:spacing w:line="360" w:lineRule="auto"/>
        <w:jc w:val="center"/>
        <w:rPr>
          <w:b/>
          <w:szCs w:val="24"/>
        </w:rPr>
      </w:pPr>
    </w:p>
    <w:p w14:paraId="4D144BAD" w14:textId="77777777" w:rsidR="00490484" w:rsidRDefault="00490484" w:rsidP="00B3606E">
      <w:pPr>
        <w:spacing w:line="360" w:lineRule="auto"/>
        <w:jc w:val="center"/>
        <w:rPr>
          <w:b/>
          <w:szCs w:val="24"/>
        </w:rPr>
      </w:pPr>
    </w:p>
    <w:p w14:paraId="0C15360D" w14:textId="77777777" w:rsidR="00490484" w:rsidRPr="00B3606E" w:rsidRDefault="00490484" w:rsidP="00B3606E">
      <w:pPr>
        <w:spacing w:line="360" w:lineRule="auto"/>
        <w:jc w:val="center"/>
        <w:rPr>
          <w:b/>
          <w:szCs w:val="24"/>
        </w:rPr>
      </w:pPr>
    </w:p>
    <w:p w14:paraId="49C8A360" w14:textId="2CB1C458" w:rsidR="00B3606E" w:rsidRPr="00B3606E" w:rsidRDefault="00B3606E" w:rsidP="00B3606E">
      <w:pPr>
        <w:spacing w:line="360" w:lineRule="auto"/>
        <w:jc w:val="center"/>
        <w:rPr>
          <w:b/>
          <w:szCs w:val="24"/>
        </w:rPr>
      </w:pPr>
      <w:r w:rsidRPr="00B3606E">
        <w:rPr>
          <w:b/>
          <w:bCs/>
          <w:szCs w:val="24"/>
        </w:rPr>
        <w:t>Student Name: Prabhat Sharma</w:t>
      </w:r>
    </w:p>
    <w:p w14:paraId="313064E1" w14:textId="0565694D" w:rsidR="00B3606E" w:rsidRDefault="00B3606E" w:rsidP="00B3606E">
      <w:pPr>
        <w:spacing w:line="360" w:lineRule="auto"/>
        <w:jc w:val="center"/>
        <w:rPr>
          <w:b/>
          <w:bCs/>
          <w:szCs w:val="24"/>
        </w:rPr>
      </w:pPr>
      <w:r w:rsidRPr="00B3606E">
        <w:rPr>
          <w:b/>
          <w:bCs/>
          <w:szCs w:val="24"/>
        </w:rPr>
        <w:t>Student ID: S396354</w:t>
      </w:r>
    </w:p>
    <w:p w14:paraId="23ED52D8" w14:textId="77777777" w:rsidR="00B3606E" w:rsidRDefault="00B3606E" w:rsidP="00B3606E">
      <w:pPr>
        <w:spacing w:line="360" w:lineRule="auto"/>
        <w:jc w:val="center"/>
        <w:rPr>
          <w:b/>
          <w:bCs/>
          <w:szCs w:val="24"/>
        </w:rPr>
      </w:pPr>
    </w:p>
    <w:p w14:paraId="0BD52719" w14:textId="77777777" w:rsidR="00490484" w:rsidRDefault="00490484" w:rsidP="00B3606E">
      <w:pPr>
        <w:spacing w:line="360" w:lineRule="auto"/>
        <w:jc w:val="center"/>
        <w:rPr>
          <w:b/>
          <w:bCs/>
          <w:szCs w:val="24"/>
        </w:rPr>
      </w:pPr>
    </w:p>
    <w:p w14:paraId="4509982C" w14:textId="52A0F15F" w:rsidR="00B3606E" w:rsidRPr="00B3606E" w:rsidRDefault="00B3606E" w:rsidP="00B3606E">
      <w:pPr>
        <w:spacing w:line="360" w:lineRule="auto"/>
        <w:jc w:val="center"/>
        <w:rPr>
          <w:b/>
          <w:szCs w:val="24"/>
        </w:rPr>
      </w:pPr>
      <w:r>
        <w:rPr>
          <w:b/>
          <w:bCs/>
          <w:szCs w:val="24"/>
        </w:rPr>
        <w:t xml:space="preserve">Word Count: </w:t>
      </w:r>
      <w:r w:rsidR="00271843">
        <w:rPr>
          <w:b/>
          <w:bCs/>
          <w:szCs w:val="24"/>
        </w:rPr>
        <w:t>1490</w:t>
      </w:r>
    </w:p>
    <w:p w14:paraId="289ADEC3" w14:textId="62CD95B3" w:rsidR="00B3606E" w:rsidRDefault="00B3606E" w:rsidP="00B3606E">
      <w:pPr>
        <w:spacing w:line="360" w:lineRule="auto"/>
        <w:rPr>
          <w:b/>
          <w:sz w:val="32"/>
        </w:rPr>
      </w:pPr>
    </w:p>
    <w:p w14:paraId="2489ED77" w14:textId="77777777" w:rsidR="00490484" w:rsidRDefault="00490484" w:rsidP="00B3606E">
      <w:pPr>
        <w:spacing w:line="360" w:lineRule="auto"/>
        <w:rPr>
          <w:b/>
          <w:sz w:val="32"/>
        </w:rPr>
      </w:pPr>
    </w:p>
    <w:p w14:paraId="63E12E28" w14:textId="77777777" w:rsidR="00490484" w:rsidRPr="00B3606E" w:rsidRDefault="00490484" w:rsidP="00B3606E">
      <w:pPr>
        <w:spacing w:line="360" w:lineRule="auto"/>
        <w:rPr>
          <w:b/>
          <w:sz w:val="32"/>
        </w:rPr>
      </w:pPr>
    </w:p>
    <w:p w14:paraId="58609C34" w14:textId="71AF1027" w:rsidR="00B3606E" w:rsidRPr="00490484" w:rsidRDefault="00B3606E" w:rsidP="00B3606E">
      <w:pPr>
        <w:spacing w:line="360" w:lineRule="auto"/>
        <w:jc w:val="center"/>
        <w:rPr>
          <w:szCs w:val="24"/>
        </w:rPr>
      </w:pPr>
      <w:r w:rsidRPr="00490484">
        <w:rPr>
          <w:szCs w:val="24"/>
        </w:rPr>
        <w:t>Date of Submission: Friday, 1</w:t>
      </w:r>
      <w:r w:rsidR="00685C13" w:rsidRPr="00490484">
        <w:rPr>
          <w:szCs w:val="24"/>
          <w:vertAlign w:val="superscript"/>
        </w:rPr>
        <w:t>st</w:t>
      </w:r>
      <w:r w:rsidR="00685C13">
        <w:rPr>
          <w:szCs w:val="24"/>
        </w:rPr>
        <w:t xml:space="preserve"> </w:t>
      </w:r>
      <w:r w:rsidR="00685C13" w:rsidRPr="00490484">
        <w:rPr>
          <w:szCs w:val="24"/>
        </w:rPr>
        <w:t>May</w:t>
      </w:r>
      <w:r w:rsidRPr="00490484">
        <w:rPr>
          <w:szCs w:val="24"/>
        </w:rPr>
        <w:t xml:space="preserve"> 2026</w:t>
      </w:r>
    </w:p>
    <w:p w14:paraId="46B85A73" w14:textId="77777777" w:rsidR="00B3606E" w:rsidRDefault="00B3606E" w:rsidP="00B3606E">
      <w:pPr>
        <w:spacing w:line="360" w:lineRule="auto"/>
        <w:jc w:val="center"/>
        <w:rPr>
          <w:b/>
          <w:bCs/>
          <w:sz w:val="32"/>
        </w:rPr>
      </w:pPr>
    </w:p>
    <w:p w14:paraId="33834885" w14:textId="77777777" w:rsidR="00B3606E" w:rsidRDefault="00B3606E" w:rsidP="00B3606E">
      <w:pPr>
        <w:spacing w:line="360" w:lineRule="auto"/>
        <w:jc w:val="center"/>
        <w:rPr>
          <w:b/>
          <w:bCs/>
          <w:sz w:val="32"/>
        </w:rPr>
      </w:pPr>
    </w:p>
    <w:p w14:paraId="682C541E" w14:textId="77777777" w:rsidR="00B3606E" w:rsidRDefault="00B3606E" w:rsidP="00B3606E">
      <w:pPr>
        <w:spacing w:line="360" w:lineRule="auto"/>
        <w:jc w:val="center"/>
        <w:rPr>
          <w:b/>
          <w:bCs/>
          <w:sz w:val="32"/>
        </w:rPr>
      </w:pPr>
    </w:p>
    <w:p w14:paraId="3765ED28" w14:textId="77777777" w:rsidR="00B3606E" w:rsidRDefault="00B3606E" w:rsidP="00B3606E">
      <w:pPr>
        <w:spacing w:line="360" w:lineRule="auto"/>
        <w:jc w:val="center"/>
        <w:rPr>
          <w:b/>
          <w:bCs/>
          <w:sz w:val="32"/>
        </w:rPr>
      </w:pPr>
    </w:p>
    <w:p w14:paraId="683974AF" w14:textId="77777777" w:rsidR="00B3606E" w:rsidRDefault="00B3606E" w:rsidP="00B3606E">
      <w:pPr>
        <w:spacing w:line="360" w:lineRule="auto"/>
        <w:jc w:val="left"/>
      </w:pPr>
    </w:p>
    <w:p w14:paraId="58AC5957" w14:textId="77777777" w:rsidR="00A50822" w:rsidRPr="00B3606E" w:rsidRDefault="00000000" w:rsidP="00B3606E">
      <w:pPr>
        <w:pStyle w:val="Heading1"/>
        <w:spacing w:line="360" w:lineRule="auto"/>
      </w:pPr>
      <w:r w:rsidRPr="00B3606E">
        <w:lastRenderedPageBreak/>
        <w:t>Question 1: Advice to Mat - negligence and emotional distress</w:t>
      </w:r>
    </w:p>
    <w:p w14:paraId="74282879" w14:textId="77777777" w:rsidR="00606841" w:rsidRDefault="00606841" w:rsidP="00B3606E">
      <w:pPr>
        <w:spacing w:line="360" w:lineRule="auto"/>
      </w:pPr>
      <w:r>
        <w:t>The question is whether Nancy can claim damages against Mat as a result of pure psychiatric injury of witnessing Mat leave the road in his car. The loss that is pleaded is not a physical injury or the damage of property but emotional distress and nightmares. As a driver, Mat had a duty to other road users to exercise care since dangerous driving can cause injuries to people on the road or those who are near the road (Chapman v Hearse (1961) 106 CLR 112). Personal injury damages In Northern Territory, there is a statutory framework of damages in personal injury, including mental injury, but a duty of care is not established in that framework (Personal Injuries (Liabilities and Damages) Act 2003 (NT) s 3). Nancy has yet to prove duty, breach, causation and compensable damage.</w:t>
      </w:r>
    </w:p>
    <w:p w14:paraId="43A5B121" w14:textId="6FFD1305" w:rsidR="00606841" w:rsidRDefault="00606841" w:rsidP="00B3606E">
      <w:pPr>
        <w:spacing w:line="360" w:lineRule="auto"/>
      </w:pPr>
      <w:r>
        <w:t xml:space="preserve">The initial flaw of the assertion made by Nancy is harm. The Australian legislation makes a difference between normal grieving, fear, worry and distress and a </w:t>
      </w:r>
      <w:proofErr w:type="spellStart"/>
      <w:r>
        <w:t>recognised</w:t>
      </w:r>
      <w:proofErr w:type="spellEnd"/>
      <w:r>
        <w:t xml:space="preserve"> psychiatric illness. Claimant has a usual burden of establishing medical evidence of a condition like post-traumatic stress disorder, anxiety disorder or depressive illness, and not that something happened and made him or her get nightmares </w:t>
      </w:r>
      <w:r w:rsidR="00007356" w:rsidRPr="00007356">
        <w:t>(Mount Isa Mines Ltd v Pusey (1970) 125 CLR 383; Tame v New South Wales; Annetts v Australian Stations Pty Ltd (2002) 211 CLR 317)</w:t>
      </w:r>
      <w:r w:rsidR="00490484">
        <w:t>.</w:t>
      </w:r>
    </w:p>
    <w:p w14:paraId="46890C8A" w14:textId="6F4CA0B9" w:rsidR="00606841" w:rsidRDefault="00606841" w:rsidP="00B3606E">
      <w:pPr>
        <w:spacing w:line="360" w:lineRule="auto"/>
      </w:pPr>
      <w:r>
        <w:t xml:space="preserve">The second and more powerful </w:t>
      </w:r>
      <w:proofErr w:type="spellStart"/>
      <w:r>
        <w:t>defence</w:t>
      </w:r>
      <w:proofErr w:type="spellEnd"/>
      <w:r>
        <w:t xml:space="preserve"> regards the pure psychiatric harm duty. The High Court has discarded strict principles of universal control like absolute requirement of sudden shock, actual perception or actual presence at the scene but reasonable foreseeability has been a requirement and that is determined by reference to the circumstances, including normal fortitude, relationship, closeness to the accident and participation in the immediate aftermath (Tame v New South Wales; Annetts v Australian Stations Pty Ltd (2002) 211 CLR 3</w:t>
      </w:r>
      <w:r w:rsidR="00271843">
        <w:t>17).</w:t>
      </w:r>
      <w:r>
        <w:t xml:space="preserve"> A duty was identified in Jaensch v Coffey since the plaintiff was the wife of the injured driver and was present during the immediate aftermath at the hospital </w:t>
      </w:r>
      <w:proofErr w:type="gramStart"/>
      <w:r>
        <w:t>( Jaensch</w:t>
      </w:r>
      <w:proofErr w:type="gramEnd"/>
      <w:r>
        <w:t xml:space="preserve"> v Coffey (1984) 155 CLR 549). The High Court in King v Philcox was also considering relationship and the conditions under which the psychiatric injury was incurred as the key to liability and not every individual who is distressed by an accident is recoverable (King v Philcox (2015) 255 CLR 304).</w:t>
      </w:r>
    </w:p>
    <w:p w14:paraId="12B2E3E6" w14:textId="77777777" w:rsidR="00606841" w:rsidRDefault="00606841" w:rsidP="00B3606E">
      <w:pPr>
        <w:spacing w:line="360" w:lineRule="auto"/>
      </w:pPr>
      <w:r>
        <w:t xml:space="preserve">Nancy will probably be regarded as a distant observer on the facts. She was a stranger to Mat, was not a passenger, rescuer or close relative, and was not put in physical danger by the crash. She was some 900 </w:t>
      </w:r>
      <w:proofErr w:type="spellStart"/>
      <w:r>
        <w:t>metres</w:t>
      </w:r>
      <w:proofErr w:type="spellEnd"/>
      <w:r>
        <w:t xml:space="preserve"> behind Mat. The distance is important since it is </w:t>
      </w:r>
      <w:r>
        <w:lastRenderedPageBreak/>
        <w:t xml:space="preserve">undermining the proximity and foreseeability. Someone 900 </w:t>
      </w:r>
      <w:proofErr w:type="spellStart"/>
      <w:r>
        <w:t>metres</w:t>
      </w:r>
      <w:proofErr w:type="spellEnd"/>
      <w:r>
        <w:t xml:space="preserve"> distant might glimpse a car going off the road, but less likely to witness the immediate effect, injuries, rescue operations or direct effects which under normal circumstances would result in psychiatric harm being reasonably predictable. Her situation is thus unlike that of the wife in Jaensch v Coffey and a rescuer who is exposed to the consequences of such an occurrence </w:t>
      </w:r>
      <w:proofErr w:type="gramStart"/>
      <w:r>
        <w:t>( Jaensch</w:t>
      </w:r>
      <w:proofErr w:type="gramEnd"/>
      <w:r>
        <w:t xml:space="preserve"> v Coffey (1984) 155 CLR 549; Mount Isa Mines Ltd v Pusey (1970) 125 CLR 383). Though Mat may have the foresight that reckless driving would annoy a nearby driver, it is less likely that he should reasonably have foreseen that a person of ordinary fortitude, 900 </w:t>
      </w:r>
      <w:proofErr w:type="spellStart"/>
      <w:r>
        <w:t>metres</w:t>
      </w:r>
      <w:proofErr w:type="spellEnd"/>
      <w:r>
        <w:t xml:space="preserve"> away and physically not at risk, would develop a </w:t>
      </w:r>
      <w:proofErr w:type="spellStart"/>
      <w:r>
        <w:t>recognised</w:t>
      </w:r>
      <w:proofErr w:type="spellEnd"/>
      <w:r>
        <w:t xml:space="preserve"> psychiatric illness (Tame v New South Wales; Annetts v Australian Stations Pty Ltd (2002) 211 CLR 317).</w:t>
      </w:r>
    </w:p>
    <w:p w14:paraId="1A7F5A41" w14:textId="73DDB941" w:rsidR="00606841" w:rsidRDefault="00606841" w:rsidP="00B3606E">
      <w:pPr>
        <w:spacing w:line="360" w:lineRule="auto"/>
      </w:pPr>
      <w:r>
        <w:t xml:space="preserve">The strongest point that Nancy can put forward is that she was the eyewitness of a road accident, she was in a position to know what occurred and road accidents are frightening by their very nature. Her claim is subject to argument in the event that medical evidence confirms PTSD or existence of yet another </w:t>
      </w:r>
      <w:proofErr w:type="spellStart"/>
      <w:r>
        <w:t>recognised</w:t>
      </w:r>
      <w:proofErr w:type="spellEnd"/>
      <w:r>
        <w:t xml:space="preserve"> illness, and evidence confirms that Mat was speeding, distracted or otherwise driving carelessly (Mount Isa Mines Ltd v Pusey (1970) 125 CLR 383; Chapman v Hearse (1961) 106 CLR 112). But Mat can respond that the fact that he lost control is not a factual determination of breach since it could have been caused by a sudden mechanical failure, an animal on the road, a medical incident or road condition. Nancy will still have trouble on duty, remoteness and demonstration of psychiatric injury even in the event of breach being established. Mat ought to repudiate. The argument that Nancy can bring forward is only viable in the case that she can establish that she was negligently driving and that she is affected by a </w:t>
      </w:r>
      <w:proofErr w:type="spellStart"/>
      <w:r>
        <w:t>recognised</w:t>
      </w:r>
      <w:proofErr w:type="spellEnd"/>
      <w:r>
        <w:t xml:space="preserve"> psychiatric illness, but based on the facts presented here it is not likely to be successful.</w:t>
      </w:r>
    </w:p>
    <w:p w14:paraId="443AB37C" w14:textId="77777777" w:rsidR="00490484" w:rsidRDefault="00490484" w:rsidP="00B3606E">
      <w:pPr>
        <w:spacing w:line="360" w:lineRule="auto"/>
      </w:pPr>
    </w:p>
    <w:p w14:paraId="1248A748" w14:textId="7FE8ED75" w:rsidR="00EF771B" w:rsidRDefault="00000000" w:rsidP="00B3606E">
      <w:pPr>
        <w:pStyle w:val="Heading1"/>
        <w:spacing w:line="360" w:lineRule="auto"/>
      </w:pPr>
      <w:r>
        <w:t>Question 2: Advice to Manny - contract with a minor</w:t>
      </w:r>
    </w:p>
    <w:p w14:paraId="57059D60" w14:textId="77777777" w:rsidR="00EF771B" w:rsidRDefault="00EF771B" w:rsidP="00B3606E">
      <w:pPr>
        <w:spacing w:line="360" w:lineRule="auto"/>
      </w:pPr>
      <w:r>
        <w:t xml:space="preserve">The question is, can the 16-year-old Manny be obliged to the Indonesian holiday package contract and the provision that states that after cancellation no refunds are provided. Manny is not old enough since in the Northern Territory an individual is considered of full age upon reaching 18 </w:t>
      </w:r>
      <w:proofErr w:type="gramStart"/>
      <w:r>
        <w:t>( Age</w:t>
      </w:r>
      <w:proofErr w:type="gramEnd"/>
      <w:r>
        <w:t xml:space="preserve"> of Majority Act 1974 (NT) s 4).</w:t>
      </w:r>
    </w:p>
    <w:p w14:paraId="4F6B454D" w14:textId="2A291A47" w:rsidR="00606841" w:rsidRDefault="00EF771B" w:rsidP="00B3606E">
      <w:pPr>
        <w:spacing w:line="360" w:lineRule="auto"/>
      </w:pPr>
      <w:r>
        <w:t xml:space="preserve">By the common law, the law generally does not enforce a contract with a minor to the full extent of their liability, except where they are of a type listed in </w:t>
      </w:r>
      <w:proofErr w:type="spellStart"/>
      <w:r>
        <w:t>recognised</w:t>
      </w:r>
      <w:proofErr w:type="spellEnd"/>
      <w:r>
        <w:t xml:space="preserve"> categories, particularly, a contract of necessaries or a contract of substantial benefit to the minor, such as </w:t>
      </w:r>
      <w:r>
        <w:lastRenderedPageBreak/>
        <w:t>beneficial employment or apprenticeship or training</w:t>
      </w:r>
      <w:r w:rsidR="00490484" w:rsidRPr="00490484">
        <w:t xml:space="preserve"> (Nash v Inman [1908] 2 KB 1; Roberts v Gray [1913] 1 KB 520)</w:t>
      </w:r>
      <w:r w:rsidR="00490484">
        <w:t xml:space="preserve">. </w:t>
      </w:r>
      <w:r>
        <w:t xml:space="preserve">The necessaries principle also is found in the Northern Territory Sale of Goods Act. In a case where necessaries are sold and delivered to a minor underage child, reasonable price should be charged and necessaries are goods which are befitting to the status of that child in life and those that are actually needed at the time (Sale of Goods Act 1972 (NT) s 7). In Nash v Inman, the supplier did not succeed as it was not sufficient to demonstrate that the clothes were suitable, but also it was necessary to demonstrate that the minor actually needed the clothes (Nash v Inman [1908] 2 KB 1). Australian law also considers necessity to be fact-specific: a bicycle to get to work may be necessary where it brings on employment, in general not all useful or desirable things are necessary (Scarborough v </w:t>
      </w:r>
      <w:proofErr w:type="spellStart"/>
      <w:r>
        <w:t>Sturzaker</w:t>
      </w:r>
      <w:proofErr w:type="spellEnd"/>
      <w:r>
        <w:t xml:space="preserve"> (1905) 1 Tas LR 117).</w:t>
      </w:r>
    </w:p>
    <w:p w14:paraId="3AA00708" w14:textId="77777777" w:rsidR="00D9186F" w:rsidRDefault="00D9186F" w:rsidP="00B3606E">
      <w:pPr>
        <w:spacing w:line="360" w:lineRule="auto"/>
      </w:pPr>
      <w:r>
        <w:t xml:space="preserve">The holiday of Manny is not something needed. Indonesian holiday package is recreation travel which is discretionary. It is not food, mundane clothing, housing, medical treatment, education, means of transportation, professional education or family care. It is also not similar to the bicycle in Scarborough v </w:t>
      </w:r>
      <w:proofErr w:type="spellStart"/>
      <w:r>
        <w:t>Sturzaker</w:t>
      </w:r>
      <w:proofErr w:type="spellEnd"/>
      <w:r>
        <w:t xml:space="preserve"> since it is not shown that the journey is necessary to the work, education, health or safety of Manny (Scarborough v </w:t>
      </w:r>
      <w:proofErr w:type="spellStart"/>
      <w:r>
        <w:t>Sturzaker</w:t>
      </w:r>
      <w:proofErr w:type="spellEnd"/>
      <w:r>
        <w:t xml:space="preserve"> (1905) 1 Tas LR 117). Yola can claim that travelling abroad is a learning experience, it enriches experience and can help a young individual. This is a poor argument since the law demands that the necessity or substantial benefit be met but not usefulness or personal growth (Nash v Inman [1908] 2 KB 1; Roberts v Gray [1913] 1 KB 520). The holiday is also not necessary due to Manny wanting to spend the money on a first car. It just proves that she is making a decision between two discretionary spending. Her later change of mind is not the legal reason why she can avoid the holiday contract but rather the fact that the contract involved is neither essential nor based on minority.</w:t>
      </w:r>
    </w:p>
    <w:p w14:paraId="283A8756" w14:textId="77777777" w:rsidR="00D9186F" w:rsidRDefault="00D9186F" w:rsidP="00B3606E">
      <w:pPr>
        <w:spacing w:line="360" w:lineRule="auto"/>
      </w:pPr>
      <w:r>
        <w:t xml:space="preserve">The non-refundable provision must not thwart the protection of Manny. When the contract is not enforceable against a minor on the ground that it is not for necessaries, and is not substantially beneficial, a cancellation clause cannot be used by Yola to have the effect, indirectly, which the law does not permit direct (Nash v Inman [1908] 2 KB 1; De Francesco v Barnum (1890) 45 Ch D 430). The same non-necessary bargain includes a "non-refundable" term. This would not be in the protection policy of minority to leave the entire payment to the travel agency just because it made a stringent cancellation clause. The holiday, which is the main benefit, has not been received. Yola could want a small </w:t>
      </w:r>
      <w:proofErr w:type="spellStart"/>
      <w:r>
        <w:t>restitutionary</w:t>
      </w:r>
      <w:proofErr w:type="spellEnd"/>
      <w:r>
        <w:t xml:space="preserve"> allowance in the event it is demonstrated that Manny had received some other </w:t>
      </w:r>
      <w:r>
        <w:lastRenderedPageBreak/>
        <w:t>non-refundable benefit or that third-party costs could not have been avoided but no such information is provided.</w:t>
      </w:r>
    </w:p>
    <w:p w14:paraId="513AA07C" w14:textId="6866C861" w:rsidR="00EF771B" w:rsidRDefault="00D9186F" w:rsidP="00B3606E">
      <w:pPr>
        <w:spacing w:line="360" w:lineRule="auto"/>
      </w:pPr>
      <w:r>
        <w:t>Thus, Manny is likely to rescind the contract and be refunded the money. Commercial reliance on non-refundable term and educational value of the traveling is the best argument of Yola, but it would be hard to achieve the legal exception of the agreement. The facts are that the holiday package is a recreational, non-essential contract between minor and the other party, and thus it is not possible that the non-refundable clause will be applicable against Manny.</w:t>
      </w:r>
    </w:p>
    <w:p w14:paraId="6FD361DD" w14:textId="77777777" w:rsidR="00964F51" w:rsidRDefault="00964F51" w:rsidP="00B3606E">
      <w:pPr>
        <w:spacing w:line="360" w:lineRule="auto"/>
      </w:pPr>
    </w:p>
    <w:p w14:paraId="0BA3F649" w14:textId="77777777" w:rsidR="00964F51" w:rsidRDefault="00964F51" w:rsidP="00B3606E">
      <w:pPr>
        <w:spacing w:line="360" w:lineRule="auto"/>
      </w:pPr>
    </w:p>
    <w:p w14:paraId="2E94CDFA" w14:textId="77777777" w:rsidR="00964F51" w:rsidRDefault="00964F51" w:rsidP="00B3606E">
      <w:pPr>
        <w:spacing w:line="360" w:lineRule="auto"/>
      </w:pPr>
    </w:p>
    <w:p w14:paraId="50CC7FFF" w14:textId="77777777" w:rsidR="00964F51" w:rsidRDefault="00964F51" w:rsidP="00B3606E">
      <w:pPr>
        <w:spacing w:line="360" w:lineRule="auto"/>
      </w:pPr>
    </w:p>
    <w:p w14:paraId="3B1F8F59" w14:textId="77777777" w:rsidR="00964F51" w:rsidRDefault="00964F51" w:rsidP="00B3606E">
      <w:pPr>
        <w:spacing w:line="360" w:lineRule="auto"/>
      </w:pPr>
    </w:p>
    <w:p w14:paraId="3F8FC67A" w14:textId="77777777" w:rsidR="00964F51" w:rsidRDefault="00964F51" w:rsidP="00B3606E">
      <w:pPr>
        <w:spacing w:line="360" w:lineRule="auto"/>
      </w:pPr>
    </w:p>
    <w:p w14:paraId="1636AB1D" w14:textId="77777777" w:rsidR="00490484" w:rsidRDefault="00490484" w:rsidP="00B3606E">
      <w:pPr>
        <w:spacing w:line="360" w:lineRule="auto"/>
      </w:pPr>
    </w:p>
    <w:p w14:paraId="5A2F03E4" w14:textId="77777777" w:rsidR="00490484" w:rsidRDefault="00490484" w:rsidP="00B3606E">
      <w:pPr>
        <w:spacing w:line="360" w:lineRule="auto"/>
      </w:pPr>
    </w:p>
    <w:p w14:paraId="37801A75" w14:textId="77777777" w:rsidR="00490484" w:rsidRDefault="00490484" w:rsidP="00B3606E">
      <w:pPr>
        <w:spacing w:line="360" w:lineRule="auto"/>
      </w:pPr>
    </w:p>
    <w:p w14:paraId="02E0B7E1" w14:textId="77777777" w:rsidR="00490484" w:rsidRDefault="00490484" w:rsidP="00B3606E">
      <w:pPr>
        <w:spacing w:line="360" w:lineRule="auto"/>
      </w:pPr>
    </w:p>
    <w:p w14:paraId="1224F4BC" w14:textId="77777777" w:rsidR="00490484" w:rsidRDefault="00490484" w:rsidP="00B3606E">
      <w:pPr>
        <w:spacing w:line="360" w:lineRule="auto"/>
      </w:pPr>
    </w:p>
    <w:p w14:paraId="1E479AFA" w14:textId="77777777" w:rsidR="00490484" w:rsidRDefault="00490484" w:rsidP="00B3606E">
      <w:pPr>
        <w:spacing w:line="360" w:lineRule="auto"/>
      </w:pPr>
    </w:p>
    <w:p w14:paraId="7AD89A5A" w14:textId="77777777" w:rsidR="00490484" w:rsidRDefault="00490484" w:rsidP="00B3606E">
      <w:pPr>
        <w:spacing w:line="360" w:lineRule="auto"/>
      </w:pPr>
    </w:p>
    <w:p w14:paraId="23FC7645" w14:textId="77777777" w:rsidR="00490484" w:rsidRDefault="00490484" w:rsidP="00B3606E">
      <w:pPr>
        <w:spacing w:line="360" w:lineRule="auto"/>
      </w:pPr>
    </w:p>
    <w:p w14:paraId="0E6C75FD" w14:textId="77777777" w:rsidR="00490484" w:rsidRDefault="00490484" w:rsidP="00B3606E">
      <w:pPr>
        <w:spacing w:line="360" w:lineRule="auto"/>
      </w:pPr>
    </w:p>
    <w:p w14:paraId="2FC2F43C" w14:textId="77777777" w:rsidR="00490484" w:rsidRDefault="00490484" w:rsidP="00B3606E">
      <w:pPr>
        <w:spacing w:line="360" w:lineRule="auto"/>
      </w:pPr>
    </w:p>
    <w:p w14:paraId="27261111" w14:textId="77777777" w:rsidR="00490484" w:rsidRDefault="00490484" w:rsidP="00B3606E">
      <w:pPr>
        <w:spacing w:line="360" w:lineRule="auto"/>
      </w:pPr>
    </w:p>
    <w:p w14:paraId="152E11F4" w14:textId="77777777" w:rsidR="00964F51" w:rsidRDefault="00964F51" w:rsidP="00B3606E">
      <w:pPr>
        <w:spacing w:line="360" w:lineRule="auto"/>
      </w:pPr>
    </w:p>
    <w:p w14:paraId="7DBC3FDD" w14:textId="77777777" w:rsidR="00A50822" w:rsidRDefault="00000000" w:rsidP="00B3606E">
      <w:pPr>
        <w:pStyle w:val="Heading1"/>
        <w:spacing w:line="360" w:lineRule="auto"/>
      </w:pPr>
      <w:r>
        <w:lastRenderedPageBreak/>
        <w:t>References</w:t>
      </w:r>
    </w:p>
    <w:p w14:paraId="39EAF919" w14:textId="77777777" w:rsidR="00A50822" w:rsidRPr="00490484" w:rsidRDefault="00000000" w:rsidP="00490484">
      <w:pPr>
        <w:pStyle w:val="Heading2"/>
      </w:pPr>
      <w:r w:rsidRPr="00490484">
        <w:t>Cases</w:t>
      </w:r>
    </w:p>
    <w:p w14:paraId="0662F8A5" w14:textId="77777777" w:rsidR="00A50822" w:rsidRDefault="00000000" w:rsidP="00B3606E">
      <w:pPr>
        <w:spacing w:line="360" w:lineRule="auto"/>
        <w:ind w:left="283" w:hanging="283"/>
      </w:pPr>
      <w:r>
        <w:rPr>
          <w:i/>
        </w:rPr>
        <w:t>Chapman v Hearse</w:t>
      </w:r>
      <w:r>
        <w:t xml:space="preserve"> (1961) 106 CLR 112.</w:t>
      </w:r>
    </w:p>
    <w:p w14:paraId="1DE98D23" w14:textId="77777777" w:rsidR="00A50822" w:rsidRDefault="00000000" w:rsidP="00B3606E">
      <w:pPr>
        <w:spacing w:line="360" w:lineRule="auto"/>
        <w:ind w:left="283" w:hanging="283"/>
      </w:pPr>
      <w:r>
        <w:rPr>
          <w:i/>
        </w:rPr>
        <w:t>De Francesco v Barnum</w:t>
      </w:r>
      <w:r>
        <w:t xml:space="preserve"> (1890) 45 Ch D 430.</w:t>
      </w:r>
    </w:p>
    <w:p w14:paraId="23D83E39" w14:textId="77777777" w:rsidR="00A50822" w:rsidRDefault="00000000" w:rsidP="00B3606E">
      <w:pPr>
        <w:spacing w:line="360" w:lineRule="auto"/>
        <w:ind w:left="283" w:hanging="283"/>
      </w:pPr>
      <w:r>
        <w:rPr>
          <w:i/>
        </w:rPr>
        <w:t>Jaensch v Coffey</w:t>
      </w:r>
      <w:r>
        <w:t xml:space="preserve"> (1984) 155 CLR 549.</w:t>
      </w:r>
    </w:p>
    <w:p w14:paraId="39D7E7A0" w14:textId="77777777" w:rsidR="00A50822" w:rsidRDefault="00000000" w:rsidP="00B3606E">
      <w:pPr>
        <w:spacing w:line="360" w:lineRule="auto"/>
        <w:ind w:left="283" w:hanging="283"/>
      </w:pPr>
      <w:r>
        <w:rPr>
          <w:i/>
        </w:rPr>
        <w:t>King v Philcox</w:t>
      </w:r>
      <w:r>
        <w:t xml:space="preserve"> (2015) 255 CLR 304.</w:t>
      </w:r>
    </w:p>
    <w:p w14:paraId="2ADDB394" w14:textId="77777777" w:rsidR="00A50822" w:rsidRDefault="00000000" w:rsidP="00B3606E">
      <w:pPr>
        <w:spacing w:line="360" w:lineRule="auto"/>
        <w:ind w:left="283" w:hanging="283"/>
      </w:pPr>
      <w:r>
        <w:rPr>
          <w:i/>
        </w:rPr>
        <w:t>Mount Isa Mines Ltd v Pusey</w:t>
      </w:r>
      <w:r>
        <w:t xml:space="preserve"> (1970) 125 CLR 383.</w:t>
      </w:r>
    </w:p>
    <w:p w14:paraId="163EEF10" w14:textId="77777777" w:rsidR="00A50822" w:rsidRDefault="00000000" w:rsidP="00B3606E">
      <w:pPr>
        <w:spacing w:line="360" w:lineRule="auto"/>
        <w:ind w:left="283" w:hanging="283"/>
      </w:pPr>
      <w:r>
        <w:rPr>
          <w:i/>
        </w:rPr>
        <w:t>Nash v Inman</w:t>
      </w:r>
      <w:r>
        <w:t xml:space="preserve"> [1908] 2 KB 1.</w:t>
      </w:r>
    </w:p>
    <w:p w14:paraId="0765F86E" w14:textId="77777777" w:rsidR="00A50822" w:rsidRDefault="00000000" w:rsidP="00B3606E">
      <w:pPr>
        <w:spacing w:line="360" w:lineRule="auto"/>
        <w:ind w:left="283" w:hanging="283"/>
      </w:pPr>
      <w:r>
        <w:rPr>
          <w:i/>
        </w:rPr>
        <w:t>Roberts v Gray</w:t>
      </w:r>
      <w:r>
        <w:t xml:space="preserve"> [1913] 1 KB 520.</w:t>
      </w:r>
    </w:p>
    <w:p w14:paraId="6DF84F9A" w14:textId="77777777" w:rsidR="00A50822" w:rsidRDefault="00000000" w:rsidP="00B3606E">
      <w:pPr>
        <w:spacing w:line="360" w:lineRule="auto"/>
        <w:ind w:left="283" w:hanging="283"/>
      </w:pPr>
      <w:r>
        <w:rPr>
          <w:i/>
        </w:rPr>
        <w:t>Scarborough v Sturzaker</w:t>
      </w:r>
      <w:r>
        <w:t xml:space="preserve"> (1905) 1 Tas LR 117.</w:t>
      </w:r>
    </w:p>
    <w:p w14:paraId="6A12B743" w14:textId="77777777" w:rsidR="00A50822" w:rsidRDefault="00000000" w:rsidP="00B3606E">
      <w:pPr>
        <w:spacing w:line="360" w:lineRule="auto"/>
        <w:ind w:left="283" w:hanging="283"/>
      </w:pPr>
      <w:r>
        <w:rPr>
          <w:i/>
        </w:rPr>
        <w:t>Tame v New South Wales; Annetts v Australian Stations Pty Ltd</w:t>
      </w:r>
      <w:r>
        <w:t xml:space="preserve"> (2002) 211 CLR 317.</w:t>
      </w:r>
    </w:p>
    <w:p w14:paraId="6B0D69F7" w14:textId="77777777" w:rsidR="00A50822" w:rsidRDefault="00000000" w:rsidP="00490484">
      <w:pPr>
        <w:pStyle w:val="Heading2"/>
      </w:pPr>
      <w:r>
        <w:t>Legislation</w:t>
      </w:r>
    </w:p>
    <w:p w14:paraId="7CA726C2" w14:textId="77777777" w:rsidR="00A50822" w:rsidRDefault="00000000" w:rsidP="00B3606E">
      <w:pPr>
        <w:spacing w:line="360" w:lineRule="auto"/>
        <w:ind w:left="283" w:hanging="283"/>
      </w:pPr>
      <w:r>
        <w:rPr>
          <w:i/>
        </w:rPr>
        <w:t>Age of Majority Act 1974</w:t>
      </w:r>
      <w:r>
        <w:t xml:space="preserve"> (NT).</w:t>
      </w:r>
    </w:p>
    <w:p w14:paraId="3386CE3F" w14:textId="77777777" w:rsidR="00A50822" w:rsidRDefault="00000000" w:rsidP="00B3606E">
      <w:pPr>
        <w:spacing w:line="360" w:lineRule="auto"/>
        <w:ind w:left="283" w:hanging="283"/>
      </w:pPr>
      <w:r>
        <w:rPr>
          <w:i/>
        </w:rPr>
        <w:t>Personal Injuries (Liabilities and Damages) Act 2003</w:t>
      </w:r>
      <w:r>
        <w:t xml:space="preserve"> (NT).</w:t>
      </w:r>
    </w:p>
    <w:p w14:paraId="55A324C5" w14:textId="77777777" w:rsidR="00A50822" w:rsidRDefault="00000000" w:rsidP="00B3606E">
      <w:pPr>
        <w:spacing w:line="360" w:lineRule="auto"/>
        <w:ind w:left="283" w:hanging="283"/>
      </w:pPr>
      <w:r>
        <w:rPr>
          <w:i/>
        </w:rPr>
        <w:t>Sale of Goods Act 1972</w:t>
      </w:r>
      <w:r>
        <w:t xml:space="preserve"> (NT).</w:t>
      </w:r>
    </w:p>
    <w:sectPr w:rsidR="00A50822" w:rsidSect="00034616">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B268A" w14:textId="77777777" w:rsidR="00D6541A" w:rsidRDefault="00D6541A">
      <w:pPr>
        <w:spacing w:after="0" w:line="240" w:lineRule="auto"/>
      </w:pPr>
      <w:r>
        <w:separator/>
      </w:r>
    </w:p>
  </w:endnote>
  <w:endnote w:type="continuationSeparator" w:id="0">
    <w:p w14:paraId="105B264F" w14:textId="77777777" w:rsidR="00D6541A" w:rsidRDefault="00D65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8FC0" w14:textId="73C4DFE0" w:rsidR="00A50822" w:rsidRDefault="00A5082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346DB" w14:textId="77777777" w:rsidR="00D6541A" w:rsidRDefault="00D6541A">
      <w:pPr>
        <w:spacing w:after="0" w:line="240" w:lineRule="auto"/>
      </w:pPr>
      <w:r>
        <w:separator/>
      </w:r>
    </w:p>
  </w:footnote>
  <w:footnote w:type="continuationSeparator" w:id="0">
    <w:p w14:paraId="136BB251" w14:textId="77777777" w:rsidR="00D6541A" w:rsidRDefault="00D654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47804678">
    <w:abstractNumId w:val="8"/>
  </w:num>
  <w:num w:numId="2" w16cid:durableId="636491298">
    <w:abstractNumId w:val="6"/>
  </w:num>
  <w:num w:numId="3" w16cid:durableId="842204260">
    <w:abstractNumId w:val="5"/>
  </w:num>
  <w:num w:numId="4" w16cid:durableId="758866769">
    <w:abstractNumId w:val="4"/>
  </w:num>
  <w:num w:numId="5" w16cid:durableId="783960926">
    <w:abstractNumId w:val="7"/>
  </w:num>
  <w:num w:numId="6" w16cid:durableId="1287395238">
    <w:abstractNumId w:val="3"/>
  </w:num>
  <w:num w:numId="7" w16cid:durableId="1665744359">
    <w:abstractNumId w:val="2"/>
  </w:num>
  <w:num w:numId="8" w16cid:durableId="432432918">
    <w:abstractNumId w:val="1"/>
  </w:num>
  <w:num w:numId="9" w16cid:durableId="125440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7356"/>
    <w:rsid w:val="00034616"/>
    <w:rsid w:val="0005378D"/>
    <w:rsid w:val="0006063C"/>
    <w:rsid w:val="0015074B"/>
    <w:rsid w:val="00271843"/>
    <w:rsid w:val="0029639D"/>
    <w:rsid w:val="00326F90"/>
    <w:rsid w:val="00490484"/>
    <w:rsid w:val="005211B0"/>
    <w:rsid w:val="0057503A"/>
    <w:rsid w:val="00606841"/>
    <w:rsid w:val="00685C13"/>
    <w:rsid w:val="00964F51"/>
    <w:rsid w:val="009B7259"/>
    <w:rsid w:val="00A50822"/>
    <w:rsid w:val="00AA1D8D"/>
    <w:rsid w:val="00B3606E"/>
    <w:rsid w:val="00B47730"/>
    <w:rsid w:val="00BB3B4A"/>
    <w:rsid w:val="00C96AB6"/>
    <w:rsid w:val="00CB0664"/>
    <w:rsid w:val="00D6541A"/>
    <w:rsid w:val="00D71545"/>
    <w:rsid w:val="00D9186F"/>
    <w:rsid w:val="00DF3BAA"/>
    <w:rsid w:val="00EF771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8FCEE9"/>
  <w14:defaultImageDpi w14:val="300"/>
  <w15:docId w15:val="{7BEB2BD8-36DC-8B48-9899-EDF36E9E3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jc w:val="both"/>
    </w:pPr>
    <w:rPr>
      <w:rFonts w:ascii="Times New Roman" w:eastAsia="Times New Roman" w:hAnsi="Times New Roman"/>
      <w:sz w:val="24"/>
    </w:rPr>
  </w:style>
  <w:style w:type="paragraph" w:styleId="Heading1">
    <w:name w:val="heading 1"/>
    <w:basedOn w:val="Normal"/>
    <w:next w:val="Normal"/>
    <w:link w:val="Heading1Char"/>
    <w:uiPriority w:val="9"/>
    <w:qFormat/>
    <w:rsid w:val="00B3606E"/>
    <w:pPr>
      <w:keepNext/>
      <w:keepLines/>
      <w:spacing w:before="120"/>
      <w:outlineLvl w:val="0"/>
    </w:pPr>
    <w:rPr>
      <w:rFonts w:eastAsiaTheme="majorEastAsia" w:cs="Times New Roman"/>
      <w:b/>
      <w:bCs/>
      <w:sz w:val="28"/>
      <w:szCs w:val="28"/>
    </w:rPr>
  </w:style>
  <w:style w:type="paragraph" w:styleId="Heading2">
    <w:name w:val="heading 2"/>
    <w:basedOn w:val="Normal"/>
    <w:next w:val="Normal"/>
    <w:link w:val="Heading2Char"/>
    <w:uiPriority w:val="9"/>
    <w:unhideWhenUsed/>
    <w:qFormat/>
    <w:rsid w:val="00490484"/>
    <w:pPr>
      <w:keepNext/>
      <w:keepLines/>
      <w:spacing w:before="120" w:line="360" w:lineRule="auto"/>
      <w:outlineLvl w:val="1"/>
    </w:pPr>
    <w:rPr>
      <w:rFonts w:eastAsiaTheme="majorEastAsia" w:cs="Times New Roman"/>
      <w:b/>
      <w:bCs/>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B3606E"/>
    <w:rPr>
      <w:rFonts w:ascii="Times New Roman" w:eastAsiaTheme="majorEastAsia" w:hAnsi="Times New Roman" w:cs="Times New Roman"/>
      <w:b/>
      <w:bCs/>
      <w:sz w:val="28"/>
      <w:szCs w:val="28"/>
    </w:rPr>
  </w:style>
  <w:style w:type="character" w:customStyle="1" w:styleId="Heading2Char">
    <w:name w:val="Heading 2 Char"/>
    <w:basedOn w:val="DefaultParagraphFont"/>
    <w:link w:val="Heading2"/>
    <w:uiPriority w:val="9"/>
    <w:rsid w:val="00490484"/>
    <w:rPr>
      <w:rFonts w:ascii="Times New Roman" w:eastAsiaTheme="majorEastAsia" w:hAnsi="Times New Roman" w:cs="Times New Roman"/>
      <w:b/>
      <w:bCs/>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1429</Words>
  <Characters>8148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9558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Dipesh</cp:lastModifiedBy>
  <cp:revision>23</cp:revision>
  <dcterms:created xsi:type="dcterms:W3CDTF">2013-12-23T23:15:00Z</dcterms:created>
  <dcterms:modified xsi:type="dcterms:W3CDTF">2026-04-30T15:20:00Z</dcterms:modified>
  <cp:category/>
</cp:coreProperties>
</file>