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86A65" w14:textId="77777777" w:rsidR="00B971C0" w:rsidRPr="000F659A" w:rsidRDefault="00000000" w:rsidP="005C5C36">
      <w:pPr>
        <w:pStyle w:val="Heading1"/>
        <w:spacing w:line="360" w:lineRule="auto"/>
        <w:rPr>
          <w:color w:val="auto"/>
        </w:rPr>
      </w:pPr>
      <w:r w:rsidRPr="000F659A">
        <w:rPr>
          <w:color w:val="auto"/>
        </w:rPr>
        <w:t>PHM536 Assessment 1: Online Discussion 2</w:t>
      </w:r>
    </w:p>
    <w:p w14:paraId="591C4FFF" w14:textId="77777777" w:rsidR="00B971C0" w:rsidRPr="000F659A" w:rsidRDefault="00000000" w:rsidP="005C5C36">
      <w:pPr>
        <w:pStyle w:val="Heading2"/>
        <w:spacing w:line="360" w:lineRule="auto"/>
        <w:rPr>
          <w:color w:val="auto"/>
        </w:rPr>
      </w:pPr>
      <w:r w:rsidRPr="000F659A">
        <w:rPr>
          <w:color w:val="auto"/>
        </w:rPr>
        <w:t>Question 1</w:t>
      </w:r>
    </w:p>
    <w:p w14:paraId="2E35C87F" w14:textId="5DE044DA" w:rsidR="00B971C0" w:rsidRPr="000F659A" w:rsidRDefault="00000000" w:rsidP="005C5C36">
      <w:pPr>
        <w:spacing w:after="100" w:line="360" w:lineRule="auto"/>
      </w:pPr>
      <w:r w:rsidRPr="000F659A">
        <w:rPr>
          <w:b/>
          <w:bCs/>
          <w:i/>
          <w:iCs/>
        </w:rPr>
        <w:t xml:space="preserve">(a) Resource allocation. </w:t>
      </w:r>
      <w:r w:rsidR="00F34A48" w:rsidRPr="000F659A">
        <w:t>Australia has a mixed public-private model, according to which funding is distributed between the Commonwealth (43.4%), states and territories (35.5%), out-of-pocket payments (17.2%), private health insurance (9.3%) and other sources, as presented by Duckett and Willcox (2022). Universal coverage is based on Medicare and the Pharmaceutical Benefits Scheme, with many services being offered by private providers. The NHS in the UK is basically funded by general taxation, with the resources being distributed centrally by the Treasury, depending on the priorities of the Department of Health and Social Care (Underwood, 2024). The US is predominantly privately-insured, often employer-sponsored, with Medicare supplementing insurance coverage of over-65s, Medicaid providing insurance to low-income groups and other targeted programs, leaving an estimated 7.9% uninsured (Congressional Research Service, 2025).</w:t>
      </w:r>
    </w:p>
    <w:p w14:paraId="60598853" w14:textId="761BB7E0" w:rsidR="00B971C0" w:rsidRPr="000F659A" w:rsidRDefault="00000000" w:rsidP="005C5C36">
      <w:pPr>
        <w:spacing w:after="100" w:line="360" w:lineRule="auto"/>
      </w:pPr>
      <w:r w:rsidRPr="000F659A">
        <w:rPr>
          <w:b/>
          <w:bCs/>
          <w:i/>
          <w:iCs/>
        </w:rPr>
        <w:t xml:space="preserve">(b) Health and system outcomes. </w:t>
      </w:r>
      <w:r w:rsidR="00F34A48" w:rsidRPr="000F659A">
        <w:t>The data provided in OECD Health at a Glance 2025 in the top section shows an alarming paradox: spending and outcomes are negatively related: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6"/>
        <w:gridCol w:w="2000"/>
        <w:gridCol w:w="2000"/>
        <w:gridCol w:w="2000"/>
      </w:tblGrid>
      <w:tr w:rsidR="00B971C0" w:rsidRPr="000F659A" w14:paraId="5ABC4940" w14:textId="77777777">
        <w:tc>
          <w:tcPr>
            <w:tcW w:w="3026"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65CFD056" w14:textId="77777777" w:rsidR="00B971C0" w:rsidRPr="000F659A" w:rsidRDefault="00000000" w:rsidP="005C5C36">
            <w:pPr>
              <w:spacing w:line="360" w:lineRule="auto"/>
            </w:pPr>
            <w:r w:rsidRPr="000F659A">
              <w:rPr>
                <w:b/>
                <w:bCs/>
                <w:sz w:val="20"/>
                <w:szCs w:val="20"/>
              </w:rPr>
              <w:t>Indicator</w:t>
            </w:r>
          </w:p>
        </w:tc>
        <w:tc>
          <w:tcPr>
            <w:tcW w:w="20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70785A91" w14:textId="77777777" w:rsidR="00B971C0" w:rsidRPr="000F659A" w:rsidRDefault="00000000" w:rsidP="005C5C36">
            <w:pPr>
              <w:spacing w:line="360" w:lineRule="auto"/>
            </w:pPr>
            <w:r w:rsidRPr="000F659A">
              <w:rPr>
                <w:b/>
                <w:bCs/>
                <w:sz w:val="20"/>
                <w:szCs w:val="20"/>
              </w:rPr>
              <w:t>Australia</w:t>
            </w:r>
          </w:p>
        </w:tc>
        <w:tc>
          <w:tcPr>
            <w:tcW w:w="20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54375905" w14:textId="77777777" w:rsidR="00B971C0" w:rsidRPr="000F659A" w:rsidRDefault="00000000" w:rsidP="005C5C36">
            <w:pPr>
              <w:spacing w:line="360" w:lineRule="auto"/>
            </w:pPr>
            <w:r w:rsidRPr="000F659A">
              <w:rPr>
                <w:b/>
                <w:bCs/>
                <w:sz w:val="20"/>
                <w:szCs w:val="20"/>
              </w:rPr>
              <w:t>UK</w:t>
            </w:r>
          </w:p>
        </w:tc>
        <w:tc>
          <w:tcPr>
            <w:tcW w:w="2000" w:type="dxa"/>
            <w:tcBorders>
              <w:top w:val="single" w:sz="1" w:space="0" w:color="AAAAAA"/>
              <w:left w:val="single" w:sz="1" w:space="0" w:color="AAAAAA"/>
              <w:bottom w:val="single" w:sz="1" w:space="0" w:color="AAAAAA"/>
              <w:right w:val="single" w:sz="1" w:space="0" w:color="AAAAAA"/>
            </w:tcBorders>
            <w:shd w:val="clear" w:color="auto" w:fill="1F3864"/>
            <w:tcMar>
              <w:top w:w="60" w:type="dxa"/>
              <w:left w:w="100" w:type="dxa"/>
              <w:bottom w:w="60" w:type="dxa"/>
              <w:right w:w="100" w:type="dxa"/>
            </w:tcMar>
          </w:tcPr>
          <w:p w14:paraId="6A5F07D4" w14:textId="77777777" w:rsidR="00B971C0" w:rsidRPr="000F659A" w:rsidRDefault="00000000" w:rsidP="005C5C36">
            <w:pPr>
              <w:spacing w:line="360" w:lineRule="auto"/>
            </w:pPr>
            <w:r w:rsidRPr="000F659A">
              <w:rPr>
                <w:b/>
                <w:bCs/>
                <w:sz w:val="20"/>
                <w:szCs w:val="20"/>
              </w:rPr>
              <w:t>USA</w:t>
            </w:r>
          </w:p>
        </w:tc>
      </w:tr>
      <w:tr w:rsidR="00B971C0" w:rsidRPr="000F659A" w14:paraId="1987EA6C" w14:textId="77777777">
        <w:tc>
          <w:tcPr>
            <w:tcW w:w="3026"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0452F20C" w14:textId="77777777" w:rsidR="00B971C0" w:rsidRPr="000F659A" w:rsidRDefault="00000000" w:rsidP="005C5C36">
            <w:pPr>
              <w:spacing w:line="360" w:lineRule="auto"/>
            </w:pPr>
            <w:r w:rsidRPr="000F659A">
              <w:rPr>
                <w:sz w:val="20"/>
                <w:szCs w:val="20"/>
              </w:rPr>
              <w:t>% GDP on health (OECD avg 9.3%)</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7D1C6902" w14:textId="77777777" w:rsidR="00B971C0" w:rsidRPr="000F659A" w:rsidRDefault="00000000" w:rsidP="005C5C36">
            <w:pPr>
              <w:spacing w:line="360" w:lineRule="auto"/>
            </w:pPr>
            <w:r w:rsidRPr="000F659A">
              <w:rPr>
                <w:sz w:val="20"/>
                <w:szCs w:val="20"/>
              </w:rPr>
              <w:t>10.3</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45F569D6" w14:textId="77777777" w:rsidR="00B971C0" w:rsidRPr="000F659A" w:rsidRDefault="00000000" w:rsidP="005C5C36">
            <w:pPr>
              <w:spacing w:line="360" w:lineRule="auto"/>
            </w:pPr>
            <w:r w:rsidRPr="000F659A">
              <w:rPr>
                <w:sz w:val="20"/>
                <w:szCs w:val="20"/>
              </w:rPr>
              <w:t>11.1</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72EA172C" w14:textId="77777777" w:rsidR="00B971C0" w:rsidRPr="000F659A" w:rsidRDefault="00000000" w:rsidP="005C5C36">
            <w:pPr>
              <w:spacing w:line="360" w:lineRule="auto"/>
            </w:pPr>
            <w:r w:rsidRPr="000F659A">
              <w:rPr>
                <w:sz w:val="20"/>
                <w:szCs w:val="20"/>
              </w:rPr>
              <w:t>17.2</w:t>
            </w:r>
          </w:p>
        </w:tc>
      </w:tr>
      <w:tr w:rsidR="00B971C0" w:rsidRPr="000F659A" w14:paraId="47F47320" w14:textId="77777777">
        <w:tc>
          <w:tcPr>
            <w:tcW w:w="30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0E38F965" w14:textId="77777777" w:rsidR="00B971C0" w:rsidRPr="000F659A" w:rsidRDefault="00000000" w:rsidP="005C5C36">
            <w:pPr>
              <w:spacing w:line="360" w:lineRule="auto"/>
            </w:pPr>
            <w:r w:rsidRPr="000F659A">
              <w:rPr>
                <w:sz w:val="20"/>
                <w:szCs w:val="20"/>
              </w:rPr>
              <w:t>Life expectancy vs OECD avg</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3AC44819" w14:textId="77777777" w:rsidR="00B971C0" w:rsidRPr="000F659A" w:rsidRDefault="00000000" w:rsidP="005C5C36">
            <w:pPr>
              <w:spacing w:line="360" w:lineRule="auto"/>
            </w:pPr>
            <w:r w:rsidRPr="000F659A">
              <w:rPr>
                <w:sz w:val="20"/>
                <w:szCs w:val="20"/>
              </w:rPr>
              <w:t>+1.9 yrs</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170EA799" w14:textId="77777777" w:rsidR="00B971C0" w:rsidRPr="000F659A" w:rsidRDefault="00000000" w:rsidP="005C5C36">
            <w:pPr>
              <w:spacing w:line="360" w:lineRule="auto"/>
            </w:pPr>
            <w:r w:rsidRPr="000F659A">
              <w:rPr>
                <w:sz w:val="20"/>
                <w:szCs w:val="20"/>
              </w:rPr>
              <w:t>-0.1 yrs</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28405B1F" w14:textId="77777777" w:rsidR="00B971C0" w:rsidRPr="000F659A" w:rsidRDefault="00000000" w:rsidP="005C5C36">
            <w:pPr>
              <w:spacing w:line="360" w:lineRule="auto"/>
            </w:pPr>
            <w:r w:rsidRPr="000F659A">
              <w:rPr>
                <w:sz w:val="20"/>
                <w:szCs w:val="20"/>
              </w:rPr>
              <w:t>-2.7 yrs</w:t>
            </w:r>
          </w:p>
        </w:tc>
      </w:tr>
      <w:tr w:rsidR="00B971C0" w:rsidRPr="000F659A" w14:paraId="72FC84C1" w14:textId="77777777">
        <w:tc>
          <w:tcPr>
            <w:tcW w:w="3026"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07F17BAE" w14:textId="77777777" w:rsidR="00B971C0" w:rsidRPr="000F659A" w:rsidRDefault="00000000" w:rsidP="005C5C36">
            <w:pPr>
              <w:spacing w:line="360" w:lineRule="auto"/>
            </w:pPr>
            <w:r w:rsidRPr="000F659A">
              <w:rPr>
                <w:sz w:val="20"/>
                <w:szCs w:val="20"/>
              </w:rPr>
              <w:t>Preventable mortality / 100,000 (avg 145)</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562268A6" w14:textId="77777777" w:rsidR="00B971C0" w:rsidRPr="000F659A" w:rsidRDefault="00000000" w:rsidP="005C5C36">
            <w:pPr>
              <w:spacing w:line="360" w:lineRule="auto"/>
            </w:pPr>
            <w:r w:rsidRPr="000F659A">
              <w:rPr>
                <w:sz w:val="20"/>
                <w:szCs w:val="20"/>
              </w:rPr>
              <w:t>99</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0115891E" w14:textId="77777777" w:rsidR="00B971C0" w:rsidRPr="000F659A" w:rsidRDefault="00000000" w:rsidP="005C5C36">
            <w:pPr>
              <w:spacing w:line="360" w:lineRule="auto"/>
            </w:pPr>
            <w:r w:rsidRPr="000F659A">
              <w:rPr>
                <w:sz w:val="20"/>
                <w:szCs w:val="20"/>
              </w:rPr>
              <w:t>156</w:t>
            </w:r>
          </w:p>
        </w:tc>
        <w:tc>
          <w:tcPr>
            <w:tcW w:w="2000" w:type="dxa"/>
            <w:tcBorders>
              <w:top w:val="single" w:sz="1" w:space="0" w:color="AAAAAA"/>
              <w:left w:val="single" w:sz="1" w:space="0" w:color="AAAAAA"/>
              <w:bottom w:val="single" w:sz="1" w:space="0" w:color="AAAAAA"/>
              <w:right w:val="single" w:sz="1" w:space="0" w:color="AAAAAA"/>
            </w:tcBorders>
            <w:shd w:val="clear" w:color="auto" w:fill="E8EFF7"/>
            <w:tcMar>
              <w:top w:w="60" w:type="dxa"/>
              <w:left w:w="100" w:type="dxa"/>
              <w:bottom w:w="60" w:type="dxa"/>
              <w:right w:w="100" w:type="dxa"/>
            </w:tcMar>
          </w:tcPr>
          <w:p w14:paraId="3239EB16" w14:textId="77777777" w:rsidR="00B971C0" w:rsidRPr="000F659A" w:rsidRDefault="00000000" w:rsidP="005C5C36">
            <w:pPr>
              <w:spacing w:line="360" w:lineRule="auto"/>
            </w:pPr>
            <w:r w:rsidRPr="000F659A">
              <w:rPr>
                <w:sz w:val="20"/>
                <w:szCs w:val="20"/>
              </w:rPr>
              <w:t>217</w:t>
            </w:r>
          </w:p>
        </w:tc>
      </w:tr>
      <w:tr w:rsidR="00B971C0" w:rsidRPr="000F659A" w14:paraId="1672B2D0" w14:textId="77777777">
        <w:tc>
          <w:tcPr>
            <w:tcW w:w="3026"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5C7DDCAE" w14:textId="77777777" w:rsidR="00B971C0" w:rsidRPr="000F659A" w:rsidRDefault="00000000" w:rsidP="005C5C36">
            <w:pPr>
              <w:spacing w:line="360" w:lineRule="auto"/>
            </w:pPr>
            <w:r w:rsidRPr="000F659A">
              <w:rPr>
                <w:sz w:val="20"/>
                <w:szCs w:val="20"/>
              </w:rPr>
              <w:t>Self-rated 'bad' health (avg 8.0%)</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6387EB7B" w14:textId="77777777" w:rsidR="00B971C0" w:rsidRPr="000F659A" w:rsidRDefault="00000000" w:rsidP="005C5C36">
            <w:pPr>
              <w:spacing w:line="360" w:lineRule="auto"/>
            </w:pPr>
            <w:r w:rsidRPr="000F659A">
              <w:rPr>
                <w:sz w:val="20"/>
                <w:szCs w:val="20"/>
              </w:rPr>
              <w:t>3.8%</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061B994" w14:textId="77777777" w:rsidR="00B971C0" w:rsidRPr="000F659A" w:rsidRDefault="00000000" w:rsidP="005C5C36">
            <w:pPr>
              <w:spacing w:line="360" w:lineRule="auto"/>
            </w:pPr>
            <w:r w:rsidRPr="000F659A">
              <w:rPr>
                <w:sz w:val="20"/>
                <w:szCs w:val="20"/>
              </w:rPr>
              <w:t>8.3%</w:t>
            </w:r>
          </w:p>
        </w:tc>
        <w:tc>
          <w:tcPr>
            <w:tcW w:w="2000" w:type="dxa"/>
            <w:tcBorders>
              <w:top w:val="single" w:sz="1" w:space="0" w:color="AAAAAA"/>
              <w:left w:val="single" w:sz="1" w:space="0" w:color="AAAAAA"/>
              <w:bottom w:val="single" w:sz="1" w:space="0" w:color="AAAAAA"/>
              <w:right w:val="single" w:sz="1" w:space="0" w:color="AAAAAA"/>
            </w:tcBorders>
            <w:tcMar>
              <w:top w:w="60" w:type="dxa"/>
              <w:left w:w="100" w:type="dxa"/>
              <w:bottom w:w="60" w:type="dxa"/>
              <w:right w:w="100" w:type="dxa"/>
            </w:tcMar>
          </w:tcPr>
          <w:p w14:paraId="7019522E" w14:textId="77777777" w:rsidR="00B971C0" w:rsidRPr="000F659A" w:rsidRDefault="00000000" w:rsidP="005C5C36">
            <w:pPr>
              <w:spacing w:line="360" w:lineRule="auto"/>
            </w:pPr>
            <w:r w:rsidRPr="000F659A">
              <w:rPr>
                <w:sz w:val="20"/>
                <w:szCs w:val="20"/>
              </w:rPr>
              <w:t>3.4%</w:t>
            </w:r>
          </w:p>
        </w:tc>
      </w:tr>
    </w:tbl>
    <w:p w14:paraId="30BFBF49" w14:textId="7A3E1738" w:rsidR="00F34A48" w:rsidRPr="000F659A" w:rsidRDefault="00F34A48" w:rsidP="005C5C36">
      <w:pPr>
        <w:spacing w:before="160" w:after="160" w:line="360" w:lineRule="auto"/>
      </w:pPr>
      <w:r w:rsidRPr="000F659A">
        <w:t xml:space="preserve">Australia achieves the best results even with significantly lower spending compared to the US, implying that universal coverage based on primary care is more important than spending as a whole. The US rate of 217 preventable deaths per 100,000 more than twice that of Australia, is indicative of coverage gaps, delayed access to primary care, and high out-of-pocket costs. </w:t>
      </w:r>
      <w:r w:rsidR="00DC4F8E" w:rsidRPr="000F659A">
        <w:t xml:space="preserve">AIHW (2024) also acknowledges in a significant </w:t>
      </w:r>
      <w:proofErr w:type="gramStart"/>
      <w:r w:rsidR="00DC4F8E" w:rsidRPr="000F659A">
        <w:t>way  although</w:t>
      </w:r>
      <w:proofErr w:type="gramEnd"/>
      <w:r w:rsidR="00DC4F8E" w:rsidRPr="000F659A">
        <w:t xml:space="preserve"> most importantly that substantial inequities among Aboriginal and </w:t>
      </w:r>
      <w:r w:rsidR="00DC4F8E" w:rsidRPr="000F659A">
        <w:lastRenderedPageBreak/>
        <w:t>Torres Strait Islander peoples are masked by broad Australian aggregated data. For example, Indigenous Australians have for decades had an average life expectancy roughly eight years less than their non-Indigenous counterparts.</w:t>
      </w:r>
    </w:p>
    <w:p w14:paraId="1CAE3B54" w14:textId="77777777" w:rsidR="00F34A48" w:rsidRPr="000F659A" w:rsidRDefault="00F34A48" w:rsidP="005C5C36">
      <w:pPr>
        <w:spacing w:before="160" w:after="160" w:line="360" w:lineRule="auto"/>
      </w:pPr>
    </w:p>
    <w:p w14:paraId="19E906CA" w14:textId="77777777" w:rsidR="00B971C0" w:rsidRPr="000F659A" w:rsidRDefault="00000000" w:rsidP="005C5C36">
      <w:pPr>
        <w:pStyle w:val="Heading2"/>
        <w:spacing w:line="360" w:lineRule="auto"/>
        <w:rPr>
          <w:color w:val="auto"/>
        </w:rPr>
      </w:pPr>
      <w:r w:rsidRPr="000F659A">
        <w:rPr>
          <w:color w:val="auto"/>
        </w:rPr>
        <w:t>Question 2</w:t>
      </w:r>
    </w:p>
    <w:p w14:paraId="198089DF" w14:textId="77777777" w:rsidR="00F34A48" w:rsidRPr="000F659A" w:rsidRDefault="00F34A48" w:rsidP="005C5C36">
      <w:pPr>
        <w:spacing w:before="100" w:after="200" w:line="360" w:lineRule="auto"/>
      </w:pPr>
      <w:r w:rsidRPr="000F659A">
        <w:t xml:space="preserve">The fact that the UK is drifting towards </w:t>
      </w:r>
      <w:proofErr w:type="spellStart"/>
      <w:r w:rsidRPr="000F659A">
        <w:t>privatisation</w:t>
      </w:r>
      <w:proofErr w:type="spellEnd"/>
      <w:r w:rsidRPr="000F659A">
        <w:t xml:space="preserve"> is the result of acute system pressures, such as chronic underfunding, workforce shortages, ageing demand and record elective waiting lists, rather than an ideological zeal to embrace markets. This trend is continued by the 2025 commitment by the </w:t>
      </w:r>
      <w:proofErr w:type="spellStart"/>
      <w:r w:rsidRPr="000F659A">
        <w:t>Labour</w:t>
      </w:r>
      <w:proofErr w:type="spellEnd"/>
      <w:r w:rsidRPr="000F659A">
        <w:t xml:space="preserve"> government to expand its provision of services privately by 20% (Starmer, 2025). However, in The Lancet Public Health, Goodair and Reeves (2024) concluded that NHS outsourcing has been associated with poorer treatable mortality and thus the strategy may help alleviate waiting lists at the expense of long-term quality. The US history is the opposite: the Affordable Care Act and the Medicaid expansion is the reaction to the failure of the market allocation, when the highest per-capita spending in the world is accompanied by the worst outcomes among peers of the country (Peterson-KFF, 2026).</w:t>
      </w:r>
    </w:p>
    <w:p w14:paraId="7335DE9D" w14:textId="77777777" w:rsidR="00F34A48" w:rsidRPr="000F659A" w:rsidRDefault="00F34A48" w:rsidP="005C5C36">
      <w:pPr>
        <w:spacing w:before="100" w:after="200" w:line="360" w:lineRule="auto"/>
      </w:pPr>
      <w:r w:rsidRPr="000F659A">
        <w:t>The intersection is telling. Both reforms implicitly admit that neither pure-market nor pure-public extremes can deliver: markets produce inequity and waste, and monopolistic extremes of the public ration through the queues. The hybrid between universal coverage and the supplementation of private provision, which is the case in Australia, seems to mediate these failure modes and also appears to offer a much more robust policy benchmark, though it too must continually rebalance equity, choice and cost.</w:t>
      </w:r>
    </w:p>
    <w:p w14:paraId="2436C146" w14:textId="77777777" w:rsidR="005C5C36" w:rsidRPr="000F659A" w:rsidRDefault="005C5C36" w:rsidP="005C5C36">
      <w:pPr>
        <w:spacing w:before="100" w:after="200" w:line="360" w:lineRule="auto"/>
      </w:pPr>
    </w:p>
    <w:p w14:paraId="755281AF" w14:textId="77777777" w:rsidR="00F34A48" w:rsidRPr="000F659A" w:rsidRDefault="00F34A48" w:rsidP="005C5C36">
      <w:pPr>
        <w:spacing w:before="100" w:after="200" w:line="360" w:lineRule="auto"/>
      </w:pPr>
    </w:p>
    <w:p w14:paraId="383D295D" w14:textId="77777777" w:rsidR="00F73E26" w:rsidRPr="000F659A" w:rsidRDefault="00F73E26" w:rsidP="005C5C36">
      <w:pPr>
        <w:spacing w:before="100" w:after="200" w:line="360" w:lineRule="auto"/>
      </w:pPr>
    </w:p>
    <w:p w14:paraId="039942B6" w14:textId="77777777" w:rsidR="00F73E26" w:rsidRPr="000F659A" w:rsidRDefault="00F73E26" w:rsidP="005C5C36">
      <w:pPr>
        <w:spacing w:before="100" w:after="200" w:line="360" w:lineRule="auto"/>
      </w:pPr>
    </w:p>
    <w:p w14:paraId="2FCF5740" w14:textId="77777777" w:rsidR="000F659A" w:rsidRPr="000F659A" w:rsidRDefault="000F659A" w:rsidP="005C5C36">
      <w:pPr>
        <w:spacing w:before="100" w:after="200" w:line="360" w:lineRule="auto"/>
      </w:pPr>
    </w:p>
    <w:p w14:paraId="2B538809" w14:textId="27F6FF9F" w:rsidR="00B971C0" w:rsidRPr="000F659A" w:rsidRDefault="00000000" w:rsidP="001653B3">
      <w:pPr>
        <w:pStyle w:val="Heading2"/>
        <w:tabs>
          <w:tab w:val="left" w:pos="4032"/>
        </w:tabs>
        <w:spacing w:line="360" w:lineRule="auto"/>
        <w:rPr>
          <w:color w:val="auto"/>
        </w:rPr>
      </w:pPr>
      <w:r w:rsidRPr="000F659A">
        <w:rPr>
          <w:color w:val="auto"/>
        </w:rPr>
        <w:lastRenderedPageBreak/>
        <w:t>References</w:t>
      </w:r>
      <w:r w:rsidR="001653B3" w:rsidRPr="000F659A">
        <w:rPr>
          <w:color w:val="auto"/>
        </w:rPr>
        <w:tab/>
      </w:r>
    </w:p>
    <w:p w14:paraId="43F7F2FA" w14:textId="77777777" w:rsidR="00F23985" w:rsidRPr="000F659A" w:rsidRDefault="00F23985" w:rsidP="005C5C36">
      <w:pPr>
        <w:spacing w:after="100" w:line="360" w:lineRule="auto"/>
        <w:ind w:left="720" w:hanging="720"/>
        <w:rPr>
          <w:sz w:val="22"/>
          <w:szCs w:val="22"/>
        </w:rPr>
      </w:pPr>
      <w:r w:rsidRPr="000F659A">
        <w:rPr>
          <w:sz w:val="22"/>
          <w:szCs w:val="22"/>
        </w:rPr>
        <w:t>Australian Institute of Health and Welfare. Deaths in Australia: life expectancy [Internet]. Canberra: AIHW; 2025 [cited 2026 May 3]. Available from:</w:t>
      </w:r>
      <w:r w:rsidRPr="000F659A">
        <w:rPr>
          <w:sz w:val="22"/>
          <w:szCs w:val="22"/>
        </w:rPr>
        <w:br/>
      </w:r>
      <w:hyperlink r:id="rId5" w:tgtFrame="_new" w:history="1">
        <w:r w:rsidRPr="000F659A">
          <w:rPr>
            <w:rStyle w:val="Hyperlink"/>
            <w:color w:val="auto"/>
            <w:sz w:val="22"/>
            <w:szCs w:val="22"/>
          </w:rPr>
          <w:t>https://www.aihw.gov.au/reports/life-expectancy-deaths/d</w:t>
        </w:r>
        <w:r w:rsidRPr="000F659A">
          <w:rPr>
            <w:rStyle w:val="Hyperlink"/>
            <w:color w:val="auto"/>
            <w:sz w:val="22"/>
            <w:szCs w:val="22"/>
          </w:rPr>
          <w:t>e</w:t>
        </w:r>
        <w:r w:rsidRPr="000F659A">
          <w:rPr>
            <w:rStyle w:val="Hyperlink"/>
            <w:color w:val="auto"/>
            <w:sz w:val="22"/>
            <w:szCs w:val="22"/>
          </w:rPr>
          <w:t>aths-in-australia/contents/life-expectancy</w:t>
        </w:r>
      </w:hyperlink>
    </w:p>
    <w:p w14:paraId="33089000" w14:textId="0CEB8FCA" w:rsidR="00B971C0" w:rsidRPr="000F659A" w:rsidRDefault="00000000" w:rsidP="005C5C36">
      <w:pPr>
        <w:spacing w:after="100" w:line="360" w:lineRule="auto"/>
        <w:ind w:left="720" w:hanging="720"/>
      </w:pPr>
      <w:r w:rsidRPr="000F659A">
        <w:rPr>
          <w:sz w:val="22"/>
          <w:szCs w:val="22"/>
        </w:rPr>
        <w:t xml:space="preserve">Congressional Research Service. US Health Care Coverage and Spending. 2025. Available from: </w:t>
      </w:r>
      <w:hyperlink r:id="rId6" w:history="1">
        <w:r w:rsidR="005C5C36" w:rsidRPr="000F659A">
          <w:rPr>
            <w:rStyle w:val="Hyperlink"/>
            <w:color w:val="auto"/>
            <w:sz w:val="22"/>
            <w:szCs w:val="22"/>
          </w:rPr>
          <w:t>https://crsreports.congress.gov/product/p</w:t>
        </w:r>
        <w:r w:rsidR="005C5C36" w:rsidRPr="000F659A">
          <w:rPr>
            <w:rStyle w:val="Hyperlink"/>
            <w:color w:val="auto"/>
            <w:sz w:val="22"/>
            <w:szCs w:val="22"/>
          </w:rPr>
          <w:t>d</w:t>
        </w:r>
        <w:r w:rsidR="005C5C36" w:rsidRPr="000F659A">
          <w:rPr>
            <w:rStyle w:val="Hyperlink"/>
            <w:color w:val="auto"/>
            <w:sz w:val="22"/>
            <w:szCs w:val="22"/>
          </w:rPr>
          <w:t>f/IF/IF10830/19.pdf</w:t>
        </w:r>
      </w:hyperlink>
      <w:r w:rsidR="005C5C36" w:rsidRPr="000F659A">
        <w:rPr>
          <w:sz w:val="22"/>
          <w:szCs w:val="22"/>
        </w:rPr>
        <w:t xml:space="preserve"> </w:t>
      </w:r>
    </w:p>
    <w:p w14:paraId="6A891B73" w14:textId="77777777" w:rsidR="00B971C0" w:rsidRPr="000F659A" w:rsidRDefault="00000000" w:rsidP="005C5C36">
      <w:pPr>
        <w:spacing w:after="100" w:line="360" w:lineRule="auto"/>
        <w:ind w:left="720" w:hanging="720"/>
      </w:pPr>
      <w:r w:rsidRPr="000F659A">
        <w:rPr>
          <w:sz w:val="22"/>
          <w:szCs w:val="22"/>
        </w:rPr>
        <w:t>Duckett S, Willcox S. The Australian Health Care System. 6th ed. Melbourne: Oxford University Press Australia &amp; New Zealand; 2022.</w:t>
      </w:r>
    </w:p>
    <w:p w14:paraId="28EF079C" w14:textId="4A6D4A6F" w:rsidR="00B971C0" w:rsidRPr="000F659A" w:rsidRDefault="00000000" w:rsidP="005C5C36">
      <w:pPr>
        <w:spacing w:after="100" w:line="360" w:lineRule="auto"/>
        <w:ind w:left="720" w:hanging="720"/>
      </w:pPr>
      <w:r w:rsidRPr="000F659A">
        <w:rPr>
          <w:sz w:val="22"/>
          <w:szCs w:val="22"/>
        </w:rPr>
        <w:t xml:space="preserve">Goodair B, Reeves A. The effect of health-care </w:t>
      </w:r>
      <w:proofErr w:type="spellStart"/>
      <w:r w:rsidRPr="000F659A">
        <w:rPr>
          <w:sz w:val="22"/>
          <w:szCs w:val="22"/>
        </w:rPr>
        <w:t>privatisation</w:t>
      </w:r>
      <w:proofErr w:type="spellEnd"/>
      <w:r w:rsidRPr="000F659A">
        <w:rPr>
          <w:sz w:val="22"/>
          <w:szCs w:val="22"/>
        </w:rPr>
        <w:t xml:space="preserve"> on the quality of care. The Lancet Public Health. 2024;9(9</w:t>
      </w:r>
      <w:proofErr w:type="gramStart"/>
      <w:r w:rsidRPr="000F659A">
        <w:rPr>
          <w:sz w:val="22"/>
          <w:szCs w:val="22"/>
        </w:rPr>
        <w:t>):e</w:t>
      </w:r>
      <w:proofErr w:type="gramEnd"/>
      <w:r w:rsidRPr="000F659A">
        <w:rPr>
          <w:sz w:val="22"/>
          <w:szCs w:val="22"/>
        </w:rPr>
        <w:t>199–e206.</w:t>
      </w:r>
      <w:r w:rsidR="005C5C36" w:rsidRPr="000F659A">
        <w:rPr>
          <w:sz w:val="22"/>
          <w:szCs w:val="22"/>
        </w:rPr>
        <w:t xml:space="preserve"> </w:t>
      </w:r>
    </w:p>
    <w:p w14:paraId="7503B6AC" w14:textId="108DD7F3" w:rsidR="00B971C0" w:rsidRPr="000F659A" w:rsidRDefault="00000000" w:rsidP="005C5C36">
      <w:pPr>
        <w:spacing w:after="100" w:line="360" w:lineRule="auto"/>
        <w:ind w:left="720" w:hanging="720"/>
      </w:pPr>
      <w:proofErr w:type="spellStart"/>
      <w:r w:rsidRPr="000F659A">
        <w:rPr>
          <w:sz w:val="22"/>
          <w:szCs w:val="22"/>
        </w:rPr>
        <w:t>Organisation</w:t>
      </w:r>
      <w:proofErr w:type="spellEnd"/>
      <w:r w:rsidRPr="000F659A">
        <w:rPr>
          <w:sz w:val="22"/>
          <w:szCs w:val="22"/>
        </w:rPr>
        <w:t xml:space="preserve"> for Economic Co-operation and Development [OECD]. Health at </w:t>
      </w:r>
      <w:r w:rsidR="00F23985" w:rsidRPr="000F659A">
        <w:rPr>
          <w:sz w:val="22"/>
          <w:szCs w:val="22"/>
        </w:rPr>
        <w:t>the</w:t>
      </w:r>
      <w:r w:rsidRPr="000F659A">
        <w:rPr>
          <w:sz w:val="22"/>
          <w:szCs w:val="22"/>
        </w:rPr>
        <w:t xml:space="preserve"> Glance 2025: OECD Indicators. Paris: OECD Publishing; 2025. </w:t>
      </w:r>
      <w:hyperlink r:id="rId7" w:history="1">
        <w:r w:rsidR="005C5C36" w:rsidRPr="000F659A">
          <w:rPr>
            <w:rStyle w:val="Hyperlink"/>
            <w:color w:val="auto"/>
            <w:sz w:val="22"/>
            <w:szCs w:val="22"/>
          </w:rPr>
          <w:t>https://doi.org/10.1787/8f9e3f98-en</w:t>
        </w:r>
      </w:hyperlink>
      <w:r w:rsidR="005C5C36" w:rsidRPr="000F659A">
        <w:rPr>
          <w:sz w:val="22"/>
          <w:szCs w:val="22"/>
        </w:rPr>
        <w:t xml:space="preserve"> </w:t>
      </w:r>
    </w:p>
    <w:p w14:paraId="2A83DDDF" w14:textId="5DE3DB48" w:rsidR="00B971C0" w:rsidRPr="000F659A" w:rsidRDefault="00000000" w:rsidP="005C5C36">
      <w:pPr>
        <w:spacing w:after="100" w:line="360" w:lineRule="auto"/>
        <w:ind w:left="720" w:hanging="720"/>
      </w:pPr>
      <w:r w:rsidRPr="000F659A">
        <w:rPr>
          <w:sz w:val="22"/>
          <w:szCs w:val="22"/>
        </w:rPr>
        <w:t xml:space="preserve">Peterson-KFF Health System Tracker. How does health spending in the U.S. compare to other countries? 2026. Available from: </w:t>
      </w:r>
      <w:hyperlink r:id="rId8" w:history="1">
        <w:r w:rsidR="005C5C36" w:rsidRPr="000F659A">
          <w:rPr>
            <w:rStyle w:val="Hyperlink"/>
            <w:color w:val="auto"/>
            <w:sz w:val="22"/>
            <w:szCs w:val="22"/>
          </w:rPr>
          <w:t>https://www.healthsystemtracker.org/chart-collection/health-spending-u-s-compare-countries/</w:t>
        </w:r>
      </w:hyperlink>
      <w:r w:rsidR="005C5C36" w:rsidRPr="000F659A">
        <w:rPr>
          <w:sz w:val="22"/>
          <w:szCs w:val="22"/>
        </w:rPr>
        <w:t xml:space="preserve"> </w:t>
      </w:r>
    </w:p>
    <w:p w14:paraId="1FE37161" w14:textId="77777777" w:rsidR="00B971C0" w:rsidRPr="000F659A" w:rsidRDefault="00000000" w:rsidP="005C5C36">
      <w:pPr>
        <w:spacing w:after="100" w:line="360" w:lineRule="auto"/>
        <w:ind w:left="720" w:hanging="720"/>
      </w:pPr>
      <w:r w:rsidRPr="000F659A">
        <w:rPr>
          <w:sz w:val="22"/>
          <w:szCs w:val="22"/>
        </w:rPr>
        <w:t>Starmer K. Elective Reform Plan. UK Government; January 2025.</w:t>
      </w:r>
    </w:p>
    <w:p w14:paraId="73816702" w14:textId="0960510C" w:rsidR="00B971C0" w:rsidRPr="000F659A" w:rsidRDefault="00000000" w:rsidP="005C5C36">
      <w:pPr>
        <w:spacing w:after="100" w:line="360" w:lineRule="auto"/>
        <w:ind w:left="720" w:hanging="720"/>
      </w:pPr>
      <w:r w:rsidRPr="000F659A">
        <w:rPr>
          <w:sz w:val="22"/>
          <w:szCs w:val="22"/>
        </w:rPr>
        <w:t>Underwood S. Redefining leadership within NHS complex adaptive system. Future Healthcare Journal. 2024;11(1):100015.</w:t>
      </w:r>
    </w:p>
    <w:p w14:paraId="4659B096" w14:textId="77777777" w:rsidR="00B971C0" w:rsidRPr="000F659A" w:rsidRDefault="00000000" w:rsidP="005C5C36">
      <w:pPr>
        <w:spacing w:before="400" w:line="360" w:lineRule="auto"/>
      </w:pPr>
      <w:r w:rsidRPr="000F659A">
        <w:br/>
      </w:r>
    </w:p>
    <w:p w14:paraId="40D730B1" w14:textId="77777777" w:rsidR="005C5C36" w:rsidRPr="000F659A" w:rsidRDefault="005C5C36" w:rsidP="005C5C36">
      <w:pPr>
        <w:spacing w:before="400" w:line="360" w:lineRule="auto"/>
      </w:pPr>
    </w:p>
    <w:p w14:paraId="672A5094" w14:textId="77777777" w:rsidR="005C5C36" w:rsidRPr="000F659A" w:rsidRDefault="005C5C36" w:rsidP="005C5C36">
      <w:pPr>
        <w:spacing w:before="400" w:line="360" w:lineRule="auto"/>
      </w:pPr>
    </w:p>
    <w:p w14:paraId="18109CE5" w14:textId="77777777" w:rsidR="005C5C36" w:rsidRPr="000F659A" w:rsidRDefault="005C5C36" w:rsidP="005C5C36">
      <w:pPr>
        <w:spacing w:before="400" w:line="360" w:lineRule="auto"/>
      </w:pPr>
    </w:p>
    <w:p w14:paraId="058A3972" w14:textId="77777777" w:rsidR="005C5C36" w:rsidRPr="000F659A" w:rsidRDefault="005C5C36" w:rsidP="005C5C36">
      <w:pPr>
        <w:spacing w:before="400" w:line="360" w:lineRule="auto"/>
      </w:pPr>
    </w:p>
    <w:p w14:paraId="478BA21F" w14:textId="77777777" w:rsidR="005C5C36" w:rsidRPr="000F659A" w:rsidRDefault="005C5C36" w:rsidP="005C5C36">
      <w:pPr>
        <w:spacing w:before="400" w:line="360" w:lineRule="auto"/>
      </w:pPr>
    </w:p>
    <w:p w14:paraId="79D843E1" w14:textId="74CDD1F9" w:rsidR="00B971C0" w:rsidRPr="000F659A" w:rsidRDefault="00000000" w:rsidP="005C5C36">
      <w:pPr>
        <w:pStyle w:val="Heading1"/>
        <w:spacing w:line="360" w:lineRule="auto"/>
        <w:rPr>
          <w:color w:val="auto"/>
        </w:rPr>
      </w:pPr>
      <w:r w:rsidRPr="000F659A">
        <w:rPr>
          <w:color w:val="auto"/>
        </w:rPr>
        <w:lastRenderedPageBreak/>
        <w:t xml:space="preserve">Response to </w:t>
      </w:r>
      <w:r w:rsidR="000862B3" w:rsidRPr="000F659A">
        <w:rPr>
          <w:color w:val="auto"/>
        </w:rPr>
        <w:t>first discussion post.</w:t>
      </w:r>
    </w:p>
    <w:p w14:paraId="4D202487" w14:textId="77777777" w:rsidR="00F34A48" w:rsidRPr="000F659A" w:rsidRDefault="00F34A48" w:rsidP="005C5C36">
      <w:pPr>
        <w:spacing w:after="160" w:line="360" w:lineRule="auto"/>
      </w:pPr>
      <w:r w:rsidRPr="000F659A">
        <w:t>Hey [name], this is an excellent post of yours. The spending-outcomes paradox, which makes it impossible to ignore the design of the system, rather than the amount spent, as the determinant of population health, is so powerfully demonstrated by your use of the 2025 OECD comparison table to spend.</w:t>
      </w:r>
    </w:p>
    <w:p w14:paraId="3546889D" w14:textId="77777777" w:rsidR="001653B3" w:rsidRPr="000F659A" w:rsidRDefault="001653B3" w:rsidP="001653B3">
      <w:pPr>
        <w:spacing w:after="160" w:line="360" w:lineRule="auto"/>
      </w:pPr>
      <w:r w:rsidRPr="000F659A">
        <w:t xml:space="preserve">I particularly valued your point about how the overall Australian data hides the disparities in Indigenous people's health. The almost </w:t>
      </w:r>
      <w:proofErr w:type="gramStart"/>
      <w:r w:rsidRPr="000F659A">
        <w:t>8 year</w:t>
      </w:r>
      <w:proofErr w:type="gramEnd"/>
      <w:r w:rsidRPr="000F659A">
        <w:t xml:space="preserve"> disparity in average life span for Indigenous peoples compared to non-Indigenous Australians (AIHW, 2024) is a warning sign of possible overreliance on headline numbers regarding Australian health, as well as one of many methodological limitations in cross-nationally comparing countries such as Australia: that cross-nationally comparative studies may be concealing significant disparities in health between subgroups or regions within countries.</w:t>
      </w:r>
    </w:p>
    <w:p w14:paraId="03EE4866" w14:textId="77777777" w:rsidR="00F34A48" w:rsidRPr="000F659A" w:rsidRDefault="00F34A48" w:rsidP="005C5C36">
      <w:pPr>
        <w:spacing w:after="160" w:line="360" w:lineRule="auto"/>
      </w:pPr>
      <w:r w:rsidRPr="000F659A">
        <w:t xml:space="preserve">I would also lean backwards a bit on one point. The study by Goodair and Reeves (2024) in Lancet Public Health lists the mixed markets may improve health outcomes as being among the reasons why the UK </w:t>
      </w:r>
      <w:proofErr w:type="spellStart"/>
      <w:r w:rsidRPr="000F659A">
        <w:t>privatised</w:t>
      </w:r>
      <w:proofErr w:type="spellEnd"/>
      <w:r w:rsidRPr="000F659A">
        <w:t xml:space="preserve"> but actually found that NHS outsourcing has been associated with worse treatable mortality. This begs the question of whether the drive of </w:t>
      </w:r>
      <w:proofErr w:type="spellStart"/>
      <w:r w:rsidRPr="000F659A">
        <w:t>privatisation</w:t>
      </w:r>
      <w:proofErr w:type="spellEnd"/>
      <w:r w:rsidRPr="000F659A">
        <w:t xml:space="preserve"> in the UK is more a political reaction to waiting-list pressure than an evidence-based quality reform, especially with Starmer in 2025 proposing expansion of the private provision by 20%. Wonder what you think.</w:t>
      </w:r>
    </w:p>
    <w:p w14:paraId="22C01EC0" w14:textId="0D994CB3" w:rsidR="00B971C0" w:rsidRPr="000F659A" w:rsidRDefault="00B971C0" w:rsidP="005C5C36">
      <w:pPr>
        <w:spacing w:after="160" w:line="360" w:lineRule="auto"/>
      </w:pPr>
    </w:p>
    <w:sectPr w:rsidR="00B971C0" w:rsidRPr="000F659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E2EEF"/>
    <w:multiLevelType w:val="hybridMultilevel"/>
    <w:tmpl w:val="9894051E"/>
    <w:lvl w:ilvl="0" w:tplc="D3B67060">
      <w:start w:val="1"/>
      <w:numFmt w:val="bullet"/>
      <w:lvlText w:val="●"/>
      <w:lvlJc w:val="left"/>
      <w:pPr>
        <w:ind w:left="720" w:hanging="360"/>
      </w:pPr>
    </w:lvl>
    <w:lvl w:ilvl="1" w:tplc="849005F4">
      <w:start w:val="1"/>
      <w:numFmt w:val="bullet"/>
      <w:lvlText w:val="○"/>
      <w:lvlJc w:val="left"/>
      <w:pPr>
        <w:ind w:left="1440" w:hanging="360"/>
      </w:pPr>
    </w:lvl>
    <w:lvl w:ilvl="2" w:tplc="C4CAFEE8">
      <w:start w:val="1"/>
      <w:numFmt w:val="bullet"/>
      <w:lvlText w:val="■"/>
      <w:lvlJc w:val="left"/>
      <w:pPr>
        <w:ind w:left="2160" w:hanging="360"/>
      </w:pPr>
    </w:lvl>
    <w:lvl w:ilvl="3" w:tplc="9F4A6DE8">
      <w:start w:val="1"/>
      <w:numFmt w:val="bullet"/>
      <w:lvlText w:val="●"/>
      <w:lvlJc w:val="left"/>
      <w:pPr>
        <w:ind w:left="2880" w:hanging="360"/>
      </w:pPr>
    </w:lvl>
    <w:lvl w:ilvl="4" w:tplc="DEDC20AE">
      <w:start w:val="1"/>
      <w:numFmt w:val="bullet"/>
      <w:lvlText w:val="○"/>
      <w:lvlJc w:val="left"/>
      <w:pPr>
        <w:ind w:left="3600" w:hanging="360"/>
      </w:pPr>
    </w:lvl>
    <w:lvl w:ilvl="5" w:tplc="1CEAAB96">
      <w:start w:val="1"/>
      <w:numFmt w:val="bullet"/>
      <w:lvlText w:val="■"/>
      <w:lvlJc w:val="left"/>
      <w:pPr>
        <w:ind w:left="4320" w:hanging="360"/>
      </w:pPr>
    </w:lvl>
    <w:lvl w:ilvl="6" w:tplc="3A7AD2A4">
      <w:start w:val="1"/>
      <w:numFmt w:val="bullet"/>
      <w:lvlText w:val="●"/>
      <w:lvlJc w:val="left"/>
      <w:pPr>
        <w:ind w:left="5040" w:hanging="360"/>
      </w:pPr>
    </w:lvl>
    <w:lvl w:ilvl="7" w:tplc="9C54A8C2">
      <w:start w:val="1"/>
      <w:numFmt w:val="bullet"/>
      <w:lvlText w:val="●"/>
      <w:lvlJc w:val="left"/>
      <w:pPr>
        <w:ind w:left="5760" w:hanging="360"/>
      </w:pPr>
    </w:lvl>
    <w:lvl w:ilvl="8" w:tplc="954CFC96">
      <w:start w:val="1"/>
      <w:numFmt w:val="bullet"/>
      <w:lvlText w:val="●"/>
      <w:lvlJc w:val="left"/>
      <w:pPr>
        <w:ind w:left="6480" w:hanging="360"/>
      </w:pPr>
    </w:lvl>
  </w:abstractNum>
  <w:num w:numId="1" w16cid:durableId="6346048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1C0"/>
    <w:rsid w:val="000862B3"/>
    <w:rsid w:val="000F659A"/>
    <w:rsid w:val="001653B3"/>
    <w:rsid w:val="005C5C36"/>
    <w:rsid w:val="00706B44"/>
    <w:rsid w:val="00947937"/>
    <w:rsid w:val="00B971C0"/>
    <w:rsid w:val="00D63073"/>
    <w:rsid w:val="00DC4F8E"/>
    <w:rsid w:val="00F23985"/>
    <w:rsid w:val="00F34A48"/>
    <w:rsid w:val="00F73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5600"/>
  <w15:docId w15:val="{30072EC4-3BDD-472E-B287-DAF18FD0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1F3864"/>
      <w:sz w:val="32"/>
      <w:szCs w:val="32"/>
    </w:rPr>
  </w:style>
  <w:style w:type="paragraph" w:styleId="Heading2">
    <w:name w:val="heading 2"/>
    <w:uiPriority w:val="9"/>
    <w:unhideWhenUsed/>
    <w:qFormat/>
    <w:pPr>
      <w:spacing w:before="180" w:after="100"/>
      <w:outlineLvl w:val="1"/>
    </w:pPr>
    <w:rPr>
      <w:b/>
      <w:bCs/>
      <w:color w:val="2E75B6"/>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C5C36"/>
    <w:rPr>
      <w:color w:val="605E5C"/>
      <w:shd w:val="clear" w:color="auto" w:fill="E1DFDD"/>
    </w:rPr>
  </w:style>
  <w:style w:type="character" w:styleId="FollowedHyperlink">
    <w:name w:val="FollowedHyperlink"/>
    <w:basedOn w:val="DefaultParagraphFont"/>
    <w:uiPriority w:val="99"/>
    <w:semiHidden/>
    <w:unhideWhenUsed/>
    <w:rsid w:val="00F23985"/>
    <w:rPr>
      <w:color w:val="96607D" w:themeColor="followedHyperlink"/>
      <w:u w:val="single"/>
    </w:rPr>
  </w:style>
  <w:style w:type="paragraph" w:styleId="NormalWeb">
    <w:name w:val="Normal (Web)"/>
    <w:basedOn w:val="Normal"/>
    <w:uiPriority w:val="99"/>
    <w:semiHidden/>
    <w:unhideWhenUsed/>
    <w:rsid w:val="00DC4F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ealthsystemtracker.org/chart-collection/health-spending-u-s-compare-countries/" TargetMode="External"/><Relationship Id="rId3" Type="http://schemas.openxmlformats.org/officeDocument/2006/relationships/settings" Target="settings.xml"/><Relationship Id="rId7" Type="http://schemas.openxmlformats.org/officeDocument/2006/relationships/hyperlink" Target="https://doi.org/10.1787/8f9e3f98-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sreports.congress.gov/product/pdf/IF/IF10830/19.pdf" TargetMode="External"/><Relationship Id="rId5" Type="http://schemas.openxmlformats.org/officeDocument/2006/relationships/hyperlink" Target="https://www.aihw.gov.au/reports/life-expectancy-deaths/deaths-in-australia/contents/life-expectanc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Dipesh</cp:lastModifiedBy>
  <cp:revision>23</cp:revision>
  <dcterms:created xsi:type="dcterms:W3CDTF">2026-05-03T06:10:00Z</dcterms:created>
  <dcterms:modified xsi:type="dcterms:W3CDTF">2026-05-03T07:49:00Z</dcterms:modified>
</cp:coreProperties>
</file>