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598" w:type="dxa"/>
        <w:jc w:val="center"/>
        <w:tblLayout w:type="fixed"/>
        <w:tblLook w:val="04A0" w:firstRow="1" w:lastRow="0" w:firstColumn="1" w:lastColumn="0" w:noHBand="0" w:noVBand="1"/>
      </w:tblPr>
      <w:tblGrid>
        <w:gridCol w:w="1668"/>
        <w:gridCol w:w="3577"/>
        <w:gridCol w:w="54"/>
        <w:gridCol w:w="2039"/>
        <w:gridCol w:w="1984"/>
        <w:gridCol w:w="1276"/>
      </w:tblGrid>
      <w:tr w:rsidR="00E52176" w:rsidRPr="00E52176" w14:paraId="79039FDE" w14:textId="77777777" w:rsidTr="00E52176">
        <w:trPr>
          <w:jc w:val="center"/>
        </w:trPr>
        <w:tc>
          <w:tcPr>
            <w:tcW w:w="9322" w:type="dxa"/>
            <w:gridSpan w:val="5"/>
            <w:tcBorders>
              <w:top w:val="nil"/>
              <w:left w:val="nil"/>
              <w:bottom w:val="single" w:sz="4" w:space="0" w:color="auto"/>
              <w:right w:val="nil"/>
            </w:tcBorders>
            <w:vAlign w:val="center"/>
          </w:tcPr>
          <w:p w14:paraId="09142938" w14:textId="77777777" w:rsidR="00E52176" w:rsidRPr="00E52176" w:rsidRDefault="00E52176" w:rsidP="00E52176">
            <w:pPr>
              <w:spacing w:before="120"/>
              <w:jc w:val="center"/>
              <w:rPr>
                <w:rFonts w:ascii="Gill Sans MT" w:eastAsia="Calibri" w:hAnsi="Gill Sans MT" w:cs="Arial"/>
                <w:b/>
                <w:color w:val="auto"/>
                <w:sz w:val="36"/>
                <w:szCs w:val="36"/>
              </w:rPr>
            </w:pPr>
            <w:r w:rsidRPr="00E52176">
              <w:rPr>
                <w:rFonts w:ascii="Gill Sans MT" w:eastAsia="Calibri" w:hAnsi="Gill Sans MT" w:cs="Arial"/>
                <w:b/>
                <w:color w:val="auto"/>
                <w:sz w:val="36"/>
                <w:szCs w:val="36"/>
              </w:rPr>
              <w:t>Canterbury Institute of Management (CIM)</w:t>
            </w:r>
          </w:p>
          <w:p w14:paraId="657E0655" w14:textId="77777777" w:rsidR="00E52176" w:rsidRPr="00E52176" w:rsidRDefault="00E52176" w:rsidP="00E52176">
            <w:pPr>
              <w:spacing w:before="120"/>
              <w:jc w:val="center"/>
              <w:rPr>
                <w:rFonts w:ascii="Gill Sans MT" w:eastAsia="Calibri" w:hAnsi="Gill Sans MT" w:cs="Arial"/>
                <w:b/>
                <w:color w:val="auto"/>
                <w:sz w:val="28"/>
                <w:szCs w:val="28"/>
              </w:rPr>
            </w:pPr>
            <w:r w:rsidRPr="00E52176">
              <w:rPr>
                <w:rFonts w:ascii="Gill Sans MT" w:eastAsia="Calibri" w:hAnsi="Gill Sans MT" w:cs="Arial"/>
                <w:b/>
                <w:color w:val="auto"/>
                <w:sz w:val="28"/>
                <w:szCs w:val="28"/>
              </w:rPr>
              <w:t>ASSESSMENT COVER SHEET</w:t>
            </w:r>
          </w:p>
        </w:tc>
        <w:tc>
          <w:tcPr>
            <w:tcW w:w="1276" w:type="dxa"/>
            <w:tcBorders>
              <w:top w:val="nil"/>
              <w:left w:val="nil"/>
              <w:bottom w:val="single" w:sz="4" w:space="0" w:color="auto"/>
              <w:right w:val="nil"/>
            </w:tcBorders>
            <w:vAlign w:val="center"/>
          </w:tcPr>
          <w:p w14:paraId="2EC5E58A" w14:textId="77777777" w:rsidR="00E52176" w:rsidRPr="00E52176" w:rsidRDefault="00E52176" w:rsidP="00E52176">
            <w:pPr>
              <w:spacing w:before="120"/>
              <w:rPr>
                <w:rFonts w:ascii="Gill Sans MT" w:eastAsia="Calibri" w:hAnsi="Gill Sans MT" w:cs="Arial"/>
                <w:color w:val="auto"/>
                <w:sz w:val="20"/>
              </w:rPr>
            </w:pPr>
            <w:r w:rsidRPr="00E52176">
              <w:rPr>
                <w:rFonts w:ascii="Gill Sans MT" w:eastAsia="Calibri" w:hAnsi="Gill Sans MT" w:cs="Arial"/>
                <w:noProof/>
                <w:color w:val="auto"/>
                <w:sz w:val="20"/>
                <w:lang w:eastAsia="ko-KR"/>
              </w:rPr>
              <w:drawing>
                <wp:inline distT="0" distB="0" distL="0" distR="0" wp14:anchorId="38B0AA95" wp14:editId="6C8CE1E1">
                  <wp:extent cx="655320" cy="625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00720" cy="668521"/>
                          </a:xfrm>
                          <a:prstGeom prst="rect">
                            <a:avLst/>
                          </a:prstGeom>
                          <a:noFill/>
                          <a:ln>
                            <a:noFill/>
                          </a:ln>
                        </pic:spPr>
                      </pic:pic>
                    </a:graphicData>
                  </a:graphic>
                </wp:inline>
              </w:drawing>
            </w:r>
          </w:p>
        </w:tc>
      </w:tr>
      <w:tr w:rsidR="00E52176" w:rsidRPr="00E52176" w14:paraId="29F30C15" w14:textId="77777777" w:rsidTr="00E52176">
        <w:trPr>
          <w:jc w:val="center"/>
        </w:trPr>
        <w:tc>
          <w:tcPr>
            <w:tcW w:w="10598" w:type="dxa"/>
            <w:gridSpan w:val="6"/>
            <w:tcBorders>
              <w:top w:val="single" w:sz="4" w:space="0" w:color="auto"/>
            </w:tcBorders>
            <w:shd w:val="clear" w:color="auto" w:fill="D9E2F3"/>
          </w:tcPr>
          <w:p w14:paraId="1B190575" w14:textId="77777777" w:rsidR="00E52176" w:rsidRPr="00E52176" w:rsidRDefault="00E52176" w:rsidP="00E52176">
            <w:pPr>
              <w:numPr>
                <w:ilvl w:val="0"/>
                <w:numId w:val="11"/>
              </w:numPr>
              <w:spacing w:before="120" w:after="0"/>
              <w:contextualSpacing/>
              <w:jc w:val="both"/>
              <w:rPr>
                <w:rFonts w:ascii="Gill Sans MT" w:eastAsia="Calibri" w:hAnsi="Gill Sans MT" w:cs="Arial"/>
                <w:color w:val="auto"/>
                <w:sz w:val="20"/>
              </w:rPr>
            </w:pPr>
            <w:r w:rsidRPr="00E52176">
              <w:rPr>
                <w:rFonts w:ascii="Gill Sans MT" w:eastAsia="Calibri" w:hAnsi="Gill Sans MT" w:cs="Arial"/>
                <w:b/>
                <w:color w:val="auto"/>
                <w:sz w:val="20"/>
              </w:rPr>
              <w:t>Personal Details</w:t>
            </w:r>
          </w:p>
        </w:tc>
      </w:tr>
      <w:tr w:rsidR="00E52176" w:rsidRPr="00E52176" w14:paraId="47FC9464" w14:textId="77777777" w:rsidTr="00E52176">
        <w:trPr>
          <w:jc w:val="center"/>
        </w:trPr>
        <w:tc>
          <w:tcPr>
            <w:tcW w:w="1668" w:type="dxa"/>
          </w:tcPr>
          <w:p w14:paraId="6C234C68" w14:textId="77777777" w:rsidR="00E52176" w:rsidRPr="00E52176" w:rsidRDefault="00E52176" w:rsidP="00E52176">
            <w:pPr>
              <w:spacing w:before="120"/>
              <w:jc w:val="both"/>
              <w:rPr>
                <w:rFonts w:ascii="Gill Sans MT" w:eastAsia="Calibri" w:hAnsi="Gill Sans MT" w:cs="Arial"/>
                <w:b/>
                <w:bCs/>
                <w:color w:val="auto"/>
                <w:sz w:val="20"/>
              </w:rPr>
            </w:pPr>
            <w:r w:rsidRPr="00E52176">
              <w:rPr>
                <w:rFonts w:ascii="Gill Sans MT" w:eastAsia="Calibri" w:hAnsi="Gill Sans MT" w:cs="Arial"/>
                <w:b/>
                <w:bCs/>
                <w:color w:val="auto"/>
                <w:sz w:val="20"/>
              </w:rPr>
              <w:t>Student ID</w:t>
            </w:r>
          </w:p>
        </w:tc>
        <w:tc>
          <w:tcPr>
            <w:tcW w:w="3631" w:type="dxa"/>
            <w:gridSpan w:val="2"/>
          </w:tcPr>
          <w:p w14:paraId="21371643" w14:textId="77777777" w:rsidR="00E52176" w:rsidRPr="00E52176" w:rsidRDefault="00E52176" w:rsidP="00E52176">
            <w:pPr>
              <w:spacing w:before="120"/>
              <w:jc w:val="both"/>
              <w:rPr>
                <w:rFonts w:ascii="Gill Sans MT" w:eastAsia="Calibri" w:hAnsi="Gill Sans MT" w:cs="Arial"/>
                <w:b/>
                <w:bCs/>
                <w:color w:val="auto"/>
                <w:sz w:val="20"/>
              </w:rPr>
            </w:pPr>
            <w:r w:rsidRPr="00E52176">
              <w:rPr>
                <w:rFonts w:ascii="Gill Sans MT" w:eastAsia="Calibri" w:hAnsi="Gill Sans MT" w:cs="Calibri"/>
                <w:b/>
                <w:bCs/>
                <w:color w:val="auto"/>
                <w:sz w:val="20"/>
              </w:rPr>
              <w:t>Given Name(s)</w:t>
            </w:r>
          </w:p>
        </w:tc>
        <w:tc>
          <w:tcPr>
            <w:tcW w:w="2039" w:type="dxa"/>
          </w:tcPr>
          <w:p w14:paraId="595DD225" w14:textId="77777777" w:rsidR="00E52176" w:rsidRPr="00E52176" w:rsidRDefault="00E52176" w:rsidP="00E52176">
            <w:pPr>
              <w:spacing w:before="120"/>
              <w:jc w:val="both"/>
              <w:rPr>
                <w:rFonts w:ascii="Gill Sans MT" w:eastAsia="Calibri" w:hAnsi="Gill Sans MT" w:cs="Arial"/>
                <w:b/>
                <w:bCs/>
                <w:color w:val="auto"/>
                <w:sz w:val="20"/>
              </w:rPr>
            </w:pPr>
            <w:r w:rsidRPr="00E52176">
              <w:rPr>
                <w:rFonts w:ascii="Gill Sans MT" w:eastAsia="Calibri" w:hAnsi="Gill Sans MT" w:cs="Calibri"/>
                <w:b/>
                <w:bCs/>
                <w:color w:val="auto"/>
                <w:sz w:val="20"/>
              </w:rPr>
              <w:t>Surname</w:t>
            </w:r>
          </w:p>
        </w:tc>
        <w:tc>
          <w:tcPr>
            <w:tcW w:w="3260" w:type="dxa"/>
            <w:gridSpan w:val="2"/>
          </w:tcPr>
          <w:p w14:paraId="7F53AC0E" w14:textId="77777777" w:rsidR="00E52176" w:rsidRPr="00E52176" w:rsidRDefault="00E52176" w:rsidP="00E52176">
            <w:pPr>
              <w:spacing w:before="120"/>
              <w:jc w:val="both"/>
              <w:rPr>
                <w:rFonts w:ascii="Gill Sans MT" w:eastAsia="Calibri" w:hAnsi="Gill Sans MT" w:cs="Arial"/>
                <w:b/>
                <w:bCs/>
                <w:color w:val="auto"/>
                <w:sz w:val="20"/>
              </w:rPr>
            </w:pPr>
            <w:r w:rsidRPr="00E52176">
              <w:rPr>
                <w:rFonts w:ascii="Gill Sans MT" w:eastAsia="Calibri" w:hAnsi="Gill Sans MT" w:cs="Arial"/>
                <w:b/>
                <w:bCs/>
                <w:color w:val="auto"/>
                <w:sz w:val="20"/>
              </w:rPr>
              <w:t>Email Address</w:t>
            </w:r>
          </w:p>
        </w:tc>
      </w:tr>
      <w:tr w:rsidR="00E52176" w:rsidRPr="00E52176" w14:paraId="63F916DF" w14:textId="77777777" w:rsidTr="00E52176">
        <w:trPr>
          <w:jc w:val="center"/>
        </w:trPr>
        <w:tc>
          <w:tcPr>
            <w:tcW w:w="1668" w:type="dxa"/>
          </w:tcPr>
          <w:p w14:paraId="3FD58B2F" w14:textId="6C15187B" w:rsidR="00E52176" w:rsidRPr="00E52176" w:rsidRDefault="00E52176" w:rsidP="00E52176">
            <w:pPr>
              <w:spacing w:before="120"/>
              <w:jc w:val="both"/>
              <w:rPr>
                <w:rFonts w:ascii="Gill Sans MT" w:eastAsia="Calibri" w:hAnsi="Gill Sans MT" w:cs="Arial"/>
                <w:color w:val="auto"/>
                <w:sz w:val="20"/>
              </w:rPr>
            </w:pPr>
            <w:r w:rsidRPr="009C74E0">
              <w:rPr>
                <w:rFonts w:ascii="Gill Sans MT" w:hAnsi="Gill Sans MT"/>
                <w:sz w:val="20"/>
              </w:rPr>
              <w:t>1.</w:t>
            </w:r>
            <w:r w:rsidRPr="00911276">
              <w:t xml:space="preserve"> </w:t>
            </w:r>
            <w:r w:rsidRPr="00911276">
              <w:rPr>
                <w:rFonts w:ascii="Gill Sans MT" w:hAnsi="Gill Sans MT"/>
                <w:sz w:val="20"/>
              </w:rPr>
              <w:t>CIM11727</w:t>
            </w:r>
          </w:p>
        </w:tc>
        <w:tc>
          <w:tcPr>
            <w:tcW w:w="3631" w:type="dxa"/>
            <w:gridSpan w:val="2"/>
          </w:tcPr>
          <w:p w14:paraId="7E494F28" w14:textId="00590F36" w:rsidR="00E52176" w:rsidRPr="00E52176" w:rsidRDefault="00E52176" w:rsidP="00E52176">
            <w:pPr>
              <w:spacing w:before="120"/>
              <w:jc w:val="both"/>
              <w:rPr>
                <w:rFonts w:ascii="Gill Sans MT" w:eastAsia="Calibri" w:hAnsi="Gill Sans MT" w:cs="Arial"/>
                <w:color w:val="auto"/>
                <w:sz w:val="20"/>
              </w:rPr>
            </w:pPr>
            <w:r w:rsidRPr="00911276">
              <w:rPr>
                <w:rFonts w:ascii="Gill Sans MT" w:hAnsi="Gill Sans MT"/>
                <w:sz w:val="20"/>
              </w:rPr>
              <w:t xml:space="preserve">Ranjana  </w:t>
            </w:r>
          </w:p>
        </w:tc>
        <w:tc>
          <w:tcPr>
            <w:tcW w:w="2039" w:type="dxa"/>
          </w:tcPr>
          <w:p w14:paraId="5D6E9D80" w14:textId="73A94D13" w:rsidR="00E52176" w:rsidRPr="00E52176" w:rsidRDefault="00E52176" w:rsidP="00E52176">
            <w:pPr>
              <w:spacing w:before="120"/>
              <w:jc w:val="both"/>
              <w:rPr>
                <w:rFonts w:ascii="Gill Sans MT" w:eastAsia="Calibri" w:hAnsi="Gill Sans MT" w:cs="Arial"/>
                <w:color w:val="auto"/>
                <w:sz w:val="20"/>
              </w:rPr>
            </w:pPr>
            <w:r w:rsidRPr="00911276">
              <w:rPr>
                <w:rFonts w:ascii="Gill Sans MT" w:hAnsi="Gill Sans MT"/>
                <w:sz w:val="20"/>
              </w:rPr>
              <w:t>Bhandari</w:t>
            </w:r>
          </w:p>
        </w:tc>
        <w:tc>
          <w:tcPr>
            <w:tcW w:w="3260" w:type="dxa"/>
            <w:gridSpan w:val="2"/>
          </w:tcPr>
          <w:p w14:paraId="779D2DF5" w14:textId="40FED687" w:rsidR="00E52176" w:rsidRPr="00E52176" w:rsidRDefault="00E52176" w:rsidP="00E52176">
            <w:pPr>
              <w:spacing w:before="120"/>
              <w:jc w:val="both"/>
              <w:rPr>
                <w:rFonts w:ascii="Gill Sans MT" w:eastAsia="Calibri" w:hAnsi="Gill Sans MT" w:cs="Arial"/>
                <w:color w:val="auto"/>
                <w:sz w:val="20"/>
              </w:rPr>
            </w:pPr>
            <w:hyperlink r:id="rId9" w:history="1">
              <w:r w:rsidRPr="00874891">
                <w:rPr>
                  <w:rStyle w:val="Hyperlink"/>
                  <w:rFonts w:ascii="Gill Sans MT" w:hAnsi="Gill Sans MT"/>
                  <w:sz w:val="20"/>
                </w:rPr>
                <w:t>ranjanabhandari26@gmail.com</w:t>
              </w:r>
            </w:hyperlink>
            <w:r>
              <w:rPr>
                <w:rFonts w:ascii="Gill Sans MT" w:hAnsi="Gill Sans MT"/>
                <w:sz w:val="20"/>
              </w:rPr>
              <w:t xml:space="preserve"> </w:t>
            </w:r>
          </w:p>
        </w:tc>
      </w:tr>
      <w:tr w:rsidR="00E52176" w:rsidRPr="00E52176" w14:paraId="776A24BE" w14:textId="77777777" w:rsidTr="00E52176">
        <w:trPr>
          <w:jc w:val="center"/>
        </w:trPr>
        <w:tc>
          <w:tcPr>
            <w:tcW w:w="1668" w:type="dxa"/>
          </w:tcPr>
          <w:p w14:paraId="65EF676A" w14:textId="5278183B" w:rsidR="00E52176" w:rsidRPr="00E52176" w:rsidRDefault="00E52176" w:rsidP="00E52176">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2.</w:t>
            </w:r>
            <w:r w:rsidR="002E4369">
              <w:t xml:space="preserve"> </w:t>
            </w:r>
            <w:r w:rsidR="002E4369">
              <w:rPr>
                <w:rFonts w:ascii="Gill Sans MT" w:eastAsia="Calibri" w:hAnsi="Gill Sans MT" w:cs="Arial"/>
                <w:color w:val="auto"/>
                <w:sz w:val="20"/>
              </w:rPr>
              <w:t>CIM</w:t>
            </w:r>
            <w:r w:rsidR="002E4369" w:rsidRPr="002E4369">
              <w:rPr>
                <w:rFonts w:ascii="Gill Sans MT" w:eastAsia="Calibri" w:hAnsi="Gill Sans MT" w:cs="Arial"/>
                <w:color w:val="auto"/>
                <w:sz w:val="20"/>
              </w:rPr>
              <w:t>9461</w:t>
            </w:r>
          </w:p>
        </w:tc>
        <w:tc>
          <w:tcPr>
            <w:tcW w:w="3631" w:type="dxa"/>
            <w:gridSpan w:val="2"/>
          </w:tcPr>
          <w:p w14:paraId="2C5F37C2" w14:textId="0332A79E" w:rsidR="00E52176" w:rsidRPr="00E52176" w:rsidRDefault="002E4369" w:rsidP="00E52176">
            <w:pPr>
              <w:spacing w:before="120"/>
              <w:jc w:val="both"/>
              <w:rPr>
                <w:rFonts w:ascii="Gill Sans MT" w:eastAsia="Calibri" w:hAnsi="Gill Sans MT" w:cs="Arial"/>
                <w:color w:val="auto"/>
                <w:sz w:val="20"/>
              </w:rPr>
            </w:pPr>
            <w:r>
              <w:rPr>
                <w:rFonts w:ascii="Gill Sans MT" w:eastAsia="Calibri" w:hAnsi="Gill Sans MT" w:cs="Arial"/>
                <w:color w:val="auto"/>
                <w:sz w:val="20"/>
              </w:rPr>
              <w:t>Anchal</w:t>
            </w:r>
          </w:p>
        </w:tc>
        <w:tc>
          <w:tcPr>
            <w:tcW w:w="2039" w:type="dxa"/>
          </w:tcPr>
          <w:p w14:paraId="5BEAD6AE" w14:textId="30853570" w:rsidR="00E52176" w:rsidRPr="00E52176" w:rsidRDefault="002E4369" w:rsidP="00E52176">
            <w:pPr>
              <w:spacing w:before="120"/>
              <w:jc w:val="both"/>
              <w:rPr>
                <w:rFonts w:ascii="Gill Sans MT" w:eastAsia="Calibri" w:hAnsi="Gill Sans MT" w:cs="Arial"/>
                <w:color w:val="auto"/>
                <w:sz w:val="20"/>
              </w:rPr>
            </w:pPr>
            <w:r>
              <w:rPr>
                <w:rFonts w:ascii="Gill Sans MT" w:eastAsia="Calibri" w:hAnsi="Gill Sans MT" w:cs="Arial"/>
                <w:color w:val="auto"/>
                <w:sz w:val="20"/>
              </w:rPr>
              <w:t>Datta</w:t>
            </w:r>
          </w:p>
        </w:tc>
        <w:tc>
          <w:tcPr>
            <w:tcW w:w="3260" w:type="dxa"/>
            <w:gridSpan w:val="2"/>
          </w:tcPr>
          <w:p w14:paraId="5B3ABCCE" w14:textId="1624D6B7" w:rsidR="00E52176" w:rsidRPr="00E52176" w:rsidRDefault="002E4369" w:rsidP="00E52176">
            <w:pPr>
              <w:spacing w:before="120"/>
              <w:jc w:val="both"/>
              <w:rPr>
                <w:rFonts w:ascii="Gill Sans MT" w:eastAsia="Calibri" w:hAnsi="Gill Sans MT" w:cs="Arial"/>
                <w:color w:val="auto"/>
                <w:sz w:val="20"/>
              </w:rPr>
            </w:pPr>
            <w:hyperlink r:id="rId10" w:history="1">
              <w:r w:rsidRPr="007A4CD0">
                <w:rPr>
                  <w:rStyle w:val="Hyperlink"/>
                  <w:rFonts w:ascii="Gill Sans MT" w:eastAsia="Calibri" w:hAnsi="Gill Sans MT" w:cs="Arial"/>
                  <w:sz w:val="20"/>
                </w:rPr>
                <w:t>cim9461@ciom.edu.au</w:t>
              </w:r>
            </w:hyperlink>
            <w:r>
              <w:rPr>
                <w:rFonts w:ascii="Gill Sans MT" w:eastAsia="Calibri" w:hAnsi="Gill Sans MT" w:cs="Arial"/>
                <w:color w:val="auto"/>
                <w:sz w:val="20"/>
              </w:rPr>
              <w:t xml:space="preserve"> </w:t>
            </w:r>
          </w:p>
        </w:tc>
      </w:tr>
      <w:tr w:rsidR="00E52176" w:rsidRPr="00E52176" w14:paraId="7217D199" w14:textId="77777777" w:rsidTr="00E52176">
        <w:trPr>
          <w:jc w:val="center"/>
        </w:trPr>
        <w:tc>
          <w:tcPr>
            <w:tcW w:w="1668" w:type="dxa"/>
          </w:tcPr>
          <w:p w14:paraId="3E107B2B" w14:textId="67E64E71" w:rsidR="00E52176" w:rsidRPr="00E52176" w:rsidRDefault="00E52176" w:rsidP="00E52176">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3.</w:t>
            </w:r>
            <w:r w:rsidR="002E4369">
              <w:t xml:space="preserve"> </w:t>
            </w:r>
            <w:r w:rsidR="002E4369" w:rsidRPr="002E4369">
              <w:rPr>
                <w:rFonts w:ascii="Gill Sans MT" w:eastAsia="Calibri" w:hAnsi="Gill Sans MT" w:cs="Arial"/>
                <w:color w:val="auto"/>
                <w:sz w:val="20"/>
              </w:rPr>
              <w:t>CIM13160</w:t>
            </w:r>
          </w:p>
        </w:tc>
        <w:tc>
          <w:tcPr>
            <w:tcW w:w="3631" w:type="dxa"/>
            <w:gridSpan w:val="2"/>
          </w:tcPr>
          <w:p w14:paraId="1951FB10" w14:textId="5AF47605" w:rsidR="00E52176" w:rsidRPr="00E52176" w:rsidRDefault="002E4369" w:rsidP="00E52176">
            <w:pPr>
              <w:spacing w:before="120"/>
              <w:jc w:val="both"/>
              <w:rPr>
                <w:rFonts w:ascii="Gill Sans MT" w:eastAsia="Calibri" w:hAnsi="Gill Sans MT" w:cs="Arial"/>
                <w:color w:val="auto"/>
                <w:sz w:val="20"/>
              </w:rPr>
            </w:pPr>
            <w:r w:rsidRPr="002E4369">
              <w:rPr>
                <w:rFonts w:ascii="Gill Sans MT" w:eastAsia="Calibri" w:hAnsi="Gill Sans MT" w:cs="Arial"/>
                <w:color w:val="auto"/>
                <w:sz w:val="20"/>
              </w:rPr>
              <w:t xml:space="preserve">Nalina </w:t>
            </w:r>
          </w:p>
        </w:tc>
        <w:tc>
          <w:tcPr>
            <w:tcW w:w="2039" w:type="dxa"/>
          </w:tcPr>
          <w:p w14:paraId="79195180" w14:textId="61813E01" w:rsidR="00E52176" w:rsidRPr="00E52176" w:rsidRDefault="002E4369" w:rsidP="00E52176">
            <w:pPr>
              <w:spacing w:before="120"/>
              <w:jc w:val="both"/>
              <w:rPr>
                <w:rFonts w:ascii="Gill Sans MT" w:eastAsia="Calibri" w:hAnsi="Gill Sans MT" w:cs="Arial"/>
                <w:color w:val="auto"/>
                <w:sz w:val="20"/>
              </w:rPr>
            </w:pPr>
            <w:r>
              <w:rPr>
                <w:rFonts w:ascii="Gill Sans MT" w:eastAsia="Calibri" w:hAnsi="Gill Sans MT" w:cs="Arial"/>
                <w:color w:val="auto"/>
                <w:sz w:val="20"/>
              </w:rPr>
              <w:t>S</w:t>
            </w:r>
            <w:r w:rsidRPr="002E4369">
              <w:rPr>
                <w:rFonts w:ascii="Gill Sans MT" w:eastAsia="Calibri" w:hAnsi="Gill Sans MT" w:cs="Arial"/>
                <w:color w:val="auto"/>
                <w:sz w:val="20"/>
              </w:rPr>
              <w:t>harma</w:t>
            </w:r>
          </w:p>
        </w:tc>
        <w:tc>
          <w:tcPr>
            <w:tcW w:w="3260" w:type="dxa"/>
            <w:gridSpan w:val="2"/>
          </w:tcPr>
          <w:p w14:paraId="5B58A0A5" w14:textId="49369C2D" w:rsidR="00E52176" w:rsidRPr="00E52176" w:rsidRDefault="002E4369" w:rsidP="00E52176">
            <w:pPr>
              <w:spacing w:before="120"/>
              <w:jc w:val="both"/>
              <w:rPr>
                <w:rFonts w:ascii="Gill Sans MT" w:eastAsia="Calibri" w:hAnsi="Gill Sans MT" w:cs="Arial"/>
                <w:color w:val="auto"/>
                <w:sz w:val="20"/>
              </w:rPr>
            </w:pPr>
            <w:hyperlink r:id="rId11" w:history="1">
              <w:r w:rsidRPr="007A4CD0">
                <w:rPr>
                  <w:rStyle w:val="Hyperlink"/>
                  <w:rFonts w:ascii="Gill Sans MT" w:eastAsia="Calibri" w:hAnsi="Gill Sans MT" w:cs="Arial"/>
                  <w:sz w:val="20"/>
                </w:rPr>
                <w:t>CIM13160@ciom.edu.au</w:t>
              </w:r>
            </w:hyperlink>
            <w:r>
              <w:rPr>
                <w:rFonts w:ascii="Gill Sans MT" w:eastAsia="Calibri" w:hAnsi="Gill Sans MT" w:cs="Arial"/>
                <w:color w:val="auto"/>
                <w:sz w:val="20"/>
              </w:rPr>
              <w:t xml:space="preserve"> </w:t>
            </w:r>
          </w:p>
        </w:tc>
      </w:tr>
      <w:tr w:rsidR="00E52176" w:rsidRPr="00E52176" w14:paraId="6E4049EC" w14:textId="77777777" w:rsidTr="00E52176">
        <w:trPr>
          <w:jc w:val="center"/>
        </w:trPr>
        <w:tc>
          <w:tcPr>
            <w:tcW w:w="1668" w:type="dxa"/>
          </w:tcPr>
          <w:p w14:paraId="16D0DDDC" w14:textId="5A7C6394" w:rsidR="00E52176" w:rsidRPr="00E52176" w:rsidRDefault="00E52176" w:rsidP="00E52176">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4.</w:t>
            </w:r>
            <w:r w:rsidR="002E4369">
              <w:t xml:space="preserve"> </w:t>
            </w:r>
            <w:r w:rsidR="002E4369" w:rsidRPr="002E4369">
              <w:rPr>
                <w:rFonts w:ascii="Gill Sans MT" w:eastAsia="Calibri" w:hAnsi="Gill Sans MT" w:cs="Arial"/>
                <w:color w:val="auto"/>
                <w:sz w:val="20"/>
              </w:rPr>
              <w:t>CIM10787</w:t>
            </w:r>
          </w:p>
        </w:tc>
        <w:tc>
          <w:tcPr>
            <w:tcW w:w="3631" w:type="dxa"/>
            <w:gridSpan w:val="2"/>
          </w:tcPr>
          <w:p w14:paraId="65DBFD63" w14:textId="30735292" w:rsidR="00E52176" w:rsidRPr="00E52176" w:rsidRDefault="002E4369" w:rsidP="00E52176">
            <w:pPr>
              <w:spacing w:before="120"/>
              <w:jc w:val="both"/>
              <w:rPr>
                <w:rFonts w:ascii="Gill Sans MT" w:eastAsia="Calibri" w:hAnsi="Gill Sans MT" w:cs="Arial"/>
                <w:color w:val="auto"/>
                <w:sz w:val="20"/>
              </w:rPr>
            </w:pPr>
            <w:proofErr w:type="spellStart"/>
            <w:r w:rsidRPr="002E4369">
              <w:rPr>
                <w:rFonts w:ascii="Gill Sans MT" w:eastAsia="Calibri" w:hAnsi="Gill Sans MT" w:cs="Arial"/>
                <w:color w:val="auto"/>
                <w:sz w:val="20"/>
              </w:rPr>
              <w:t>Laksika</w:t>
            </w:r>
            <w:proofErr w:type="spellEnd"/>
            <w:r w:rsidRPr="002E4369">
              <w:rPr>
                <w:rFonts w:ascii="Gill Sans MT" w:eastAsia="Calibri" w:hAnsi="Gill Sans MT" w:cs="Arial"/>
                <w:color w:val="auto"/>
                <w:sz w:val="20"/>
              </w:rPr>
              <w:t xml:space="preserve"> </w:t>
            </w:r>
          </w:p>
        </w:tc>
        <w:tc>
          <w:tcPr>
            <w:tcW w:w="2039" w:type="dxa"/>
          </w:tcPr>
          <w:p w14:paraId="4394AF35" w14:textId="53338B2C" w:rsidR="00E52176" w:rsidRPr="00E52176" w:rsidRDefault="002E4369" w:rsidP="00E52176">
            <w:pPr>
              <w:spacing w:before="120"/>
              <w:jc w:val="both"/>
              <w:rPr>
                <w:rFonts w:ascii="Gill Sans MT" w:eastAsia="Calibri" w:hAnsi="Gill Sans MT" w:cs="Arial"/>
                <w:color w:val="auto"/>
                <w:sz w:val="20"/>
              </w:rPr>
            </w:pPr>
            <w:r w:rsidRPr="002E4369">
              <w:rPr>
                <w:rFonts w:ascii="Gill Sans MT" w:eastAsia="Calibri" w:hAnsi="Gill Sans MT" w:cs="Arial"/>
                <w:color w:val="auto"/>
                <w:sz w:val="20"/>
              </w:rPr>
              <w:t>Jankhunthod</w:t>
            </w:r>
          </w:p>
        </w:tc>
        <w:tc>
          <w:tcPr>
            <w:tcW w:w="3260" w:type="dxa"/>
            <w:gridSpan w:val="2"/>
          </w:tcPr>
          <w:p w14:paraId="3A1261D7" w14:textId="0DAF89B3" w:rsidR="00E52176" w:rsidRPr="00E52176" w:rsidRDefault="002E4369" w:rsidP="00E52176">
            <w:pPr>
              <w:spacing w:before="120"/>
              <w:jc w:val="both"/>
              <w:rPr>
                <w:rFonts w:ascii="Gill Sans MT" w:eastAsia="Calibri" w:hAnsi="Gill Sans MT" w:cs="Arial"/>
                <w:color w:val="auto"/>
                <w:sz w:val="20"/>
              </w:rPr>
            </w:pPr>
            <w:hyperlink r:id="rId12" w:history="1">
              <w:r w:rsidRPr="007A4CD0">
                <w:rPr>
                  <w:rStyle w:val="Hyperlink"/>
                  <w:rFonts w:ascii="Gill Sans MT" w:eastAsia="Calibri" w:hAnsi="Gill Sans MT" w:cs="Arial"/>
                  <w:sz w:val="20"/>
                </w:rPr>
                <w:t>Cim10787@ciom.edu.au</w:t>
              </w:r>
            </w:hyperlink>
            <w:r>
              <w:rPr>
                <w:rFonts w:ascii="Gill Sans MT" w:eastAsia="Calibri" w:hAnsi="Gill Sans MT" w:cs="Arial"/>
                <w:color w:val="auto"/>
                <w:sz w:val="20"/>
              </w:rPr>
              <w:t xml:space="preserve"> </w:t>
            </w:r>
          </w:p>
        </w:tc>
      </w:tr>
      <w:tr w:rsidR="00642DA4" w:rsidRPr="00E52176" w14:paraId="479BB89D" w14:textId="77777777" w:rsidTr="00E52176">
        <w:trPr>
          <w:jc w:val="center"/>
        </w:trPr>
        <w:tc>
          <w:tcPr>
            <w:tcW w:w="1668" w:type="dxa"/>
          </w:tcPr>
          <w:p w14:paraId="3360D440" w14:textId="77777777"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Campus</w:t>
            </w:r>
          </w:p>
        </w:tc>
        <w:tc>
          <w:tcPr>
            <w:tcW w:w="8930" w:type="dxa"/>
            <w:gridSpan w:val="5"/>
          </w:tcPr>
          <w:p w14:paraId="24BB7C49" w14:textId="77BF9398" w:rsidR="00642DA4" w:rsidRPr="00E52176" w:rsidRDefault="00642DA4" w:rsidP="00642DA4">
            <w:pPr>
              <w:spacing w:before="120"/>
              <w:jc w:val="both"/>
              <w:rPr>
                <w:rFonts w:ascii="Gill Sans MT" w:eastAsia="Calibri" w:hAnsi="Gill Sans MT" w:cs="Arial"/>
                <w:color w:val="auto"/>
                <w:sz w:val="20"/>
              </w:rPr>
            </w:pPr>
            <w:r w:rsidRPr="00775B0E">
              <w:rPr>
                <w:rFonts w:ascii="Gill Sans MT" w:hAnsi="Gill Sans MT"/>
                <w:sz w:val="20"/>
              </w:rPr>
              <w:t>Canterbury Institute of Management, Darlinghurst, Sydney</w:t>
            </w:r>
          </w:p>
        </w:tc>
      </w:tr>
      <w:tr w:rsidR="00642DA4" w:rsidRPr="00E52176" w14:paraId="5C2BEAE6" w14:textId="77777777" w:rsidTr="00E52176">
        <w:trPr>
          <w:jc w:val="center"/>
        </w:trPr>
        <w:tc>
          <w:tcPr>
            <w:tcW w:w="1668" w:type="dxa"/>
          </w:tcPr>
          <w:p w14:paraId="3C062C70" w14:textId="77777777" w:rsidR="00642DA4" w:rsidRPr="00E52176" w:rsidRDefault="00642DA4" w:rsidP="00642DA4">
            <w:pPr>
              <w:spacing w:before="120"/>
              <w:rPr>
                <w:rFonts w:ascii="Gill Sans MT" w:eastAsia="Calibri" w:hAnsi="Gill Sans MT" w:cs="Arial"/>
                <w:color w:val="auto"/>
                <w:sz w:val="20"/>
              </w:rPr>
            </w:pPr>
            <w:r w:rsidRPr="00E52176">
              <w:rPr>
                <w:rFonts w:ascii="Gill Sans MT" w:eastAsia="Calibri" w:hAnsi="Gill Sans MT" w:cs="Arial"/>
                <w:color w:val="auto"/>
                <w:sz w:val="20"/>
              </w:rPr>
              <w:t>Course Title and Code</w:t>
            </w:r>
          </w:p>
        </w:tc>
        <w:tc>
          <w:tcPr>
            <w:tcW w:w="8930" w:type="dxa"/>
            <w:gridSpan w:val="5"/>
          </w:tcPr>
          <w:p w14:paraId="53E39084" w14:textId="26618D2C" w:rsidR="00642DA4" w:rsidRPr="00E52176" w:rsidRDefault="00642DA4" w:rsidP="00642DA4">
            <w:pPr>
              <w:spacing w:before="120"/>
              <w:jc w:val="both"/>
              <w:rPr>
                <w:rFonts w:ascii="Gill Sans MT" w:eastAsia="Calibri" w:hAnsi="Gill Sans MT" w:cs="Arial"/>
                <w:color w:val="auto"/>
                <w:sz w:val="20"/>
              </w:rPr>
            </w:pPr>
            <w:r w:rsidRPr="00642DA4">
              <w:rPr>
                <w:rFonts w:ascii="Gill Sans MT" w:eastAsia="Calibri" w:hAnsi="Gill Sans MT" w:cs="Arial"/>
                <w:color w:val="auto"/>
                <w:sz w:val="20"/>
              </w:rPr>
              <w:t>MGMT302 Strategic Management</w:t>
            </w:r>
          </w:p>
        </w:tc>
      </w:tr>
      <w:tr w:rsidR="00642DA4" w:rsidRPr="00E52176" w14:paraId="16D3B9EA" w14:textId="77777777" w:rsidTr="00E52176">
        <w:trPr>
          <w:jc w:val="center"/>
        </w:trPr>
        <w:tc>
          <w:tcPr>
            <w:tcW w:w="1668" w:type="dxa"/>
          </w:tcPr>
          <w:p w14:paraId="1BDF5652" w14:textId="77777777" w:rsidR="00642DA4" w:rsidRPr="00E52176" w:rsidRDefault="00642DA4" w:rsidP="00642DA4">
            <w:pPr>
              <w:spacing w:before="120"/>
              <w:rPr>
                <w:rFonts w:ascii="Gill Sans MT" w:eastAsia="Calibri" w:hAnsi="Gill Sans MT" w:cs="Arial"/>
                <w:color w:val="auto"/>
                <w:sz w:val="20"/>
              </w:rPr>
            </w:pPr>
            <w:r w:rsidRPr="00E52176">
              <w:rPr>
                <w:rFonts w:ascii="Gill Sans MT" w:eastAsia="Calibri" w:hAnsi="Gill Sans MT" w:cs="Arial"/>
                <w:color w:val="auto"/>
                <w:sz w:val="20"/>
              </w:rPr>
              <w:t>Assessment Title</w:t>
            </w:r>
          </w:p>
        </w:tc>
        <w:tc>
          <w:tcPr>
            <w:tcW w:w="8930" w:type="dxa"/>
            <w:gridSpan w:val="5"/>
          </w:tcPr>
          <w:p w14:paraId="61FF3651" w14:textId="1C8ED861" w:rsidR="00642DA4" w:rsidRPr="00E52176" w:rsidRDefault="00FC1C03" w:rsidP="00642DA4">
            <w:pPr>
              <w:spacing w:before="120"/>
              <w:jc w:val="both"/>
              <w:rPr>
                <w:rFonts w:ascii="Gill Sans MT" w:eastAsia="Calibri" w:hAnsi="Gill Sans MT" w:cs="Arial"/>
                <w:color w:val="auto"/>
                <w:sz w:val="20"/>
              </w:rPr>
            </w:pPr>
            <w:r w:rsidRPr="00FC1C03">
              <w:rPr>
                <w:rFonts w:ascii="Gill Sans MT" w:eastAsia="Calibri" w:hAnsi="Gill Sans MT" w:cs="Arial"/>
                <w:color w:val="auto"/>
                <w:sz w:val="20"/>
                <w:lang w:val="en-US"/>
              </w:rPr>
              <w:t>AT3 Group Written Report and Presentation</w:t>
            </w:r>
          </w:p>
        </w:tc>
      </w:tr>
      <w:tr w:rsidR="00642DA4" w:rsidRPr="00E52176" w14:paraId="079486DD" w14:textId="77777777" w:rsidTr="00E52176">
        <w:trPr>
          <w:jc w:val="center"/>
        </w:trPr>
        <w:tc>
          <w:tcPr>
            <w:tcW w:w="1668" w:type="dxa"/>
          </w:tcPr>
          <w:p w14:paraId="538FFC7B" w14:textId="77777777" w:rsidR="00642DA4" w:rsidRPr="00E52176" w:rsidRDefault="00642DA4" w:rsidP="00642DA4">
            <w:pPr>
              <w:spacing w:before="120"/>
              <w:rPr>
                <w:rFonts w:ascii="Gill Sans MT" w:eastAsia="Calibri" w:hAnsi="Gill Sans MT" w:cs="Arial"/>
                <w:color w:val="auto"/>
                <w:sz w:val="20"/>
              </w:rPr>
            </w:pPr>
            <w:r w:rsidRPr="00E52176">
              <w:rPr>
                <w:rFonts w:ascii="Gill Sans MT" w:eastAsia="Calibri" w:hAnsi="Gill Sans MT" w:cs="Arial"/>
                <w:color w:val="auto"/>
                <w:sz w:val="20"/>
              </w:rPr>
              <w:t>Due Date &amp; Time</w:t>
            </w:r>
          </w:p>
        </w:tc>
        <w:tc>
          <w:tcPr>
            <w:tcW w:w="8930" w:type="dxa"/>
            <w:gridSpan w:val="5"/>
          </w:tcPr>
          <w:p w14:paraId="55D5D68B" w14:textId="1F6766A9" w:rsidR="00642DA4" w:rsidRPr="00E52176" w:rsidRDefault="00FC1C03" w:rsidP="00642DA4">
            <w:pPr>
              <w:spacing w:before="120"/>
              <w:jc w:val="both"/>
              <w:rPr>
                <w:rFonts w:ascii="Gill Sans MT" w:eastAsia="Calibri" w:hAnsi="Gill Sans MT" w:cs="Arial"/>
                <w:color w:val="auto"/>
                <w:sz w:val="20"/>
              </w:rPr>
            </w:pPr>
            <w:r w:rsidRPr="00FC1C03">
              <w:rPr>
                <w:rFonts w:ascii="Gill Sans MT" w:eastAsia="Calibri" w:hAnsi="Gill Sans MT" w:cs="Arial"/>
                <w:color w:val="auto"/>
                <w:sz w:val="20"/>
                <w:lang w:val="en-US"/>
              </w:rPr>
              <w:t>Written Report: 11.55 pm Sunday, Week 11</w:t>
            </w:r>
          </w:p>
        </w:tc>
      </w:tr>
      <w:tr w:rsidR="00642DA4" w:rsidRPr="00E52176" w14:paraId="531F710F" w14:textId="77777777" w:rsidTr="00E52176">
        <w:trPr>
          <w:trHeight w:val="979"/>
          <w:jc w:val="center"/>
        </w:trPr>
        <w:tc>
          <w:tcPr>
            <w:tcW w:w="5245" w:type="dxa"/>
            <w:gridSpan w:val="2"/>
          </w:tcPr>
          <w:p w14:paraId="68068321" w14:textId="77777777"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Course Lecturer/Tutor Name:</w:t>
            </w:r>
          </w:p>
        </w:tc>
        <w:tc>
          <w:tcPr>
            <w:tcW w:w="5353" w:type="dxa"/>
            <w:gridSpan w:val="4"/>
          </w:tcPr>
          <w:p w14:paraId="5CE187B1" w14:textId="478ED323"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Assessment Word Count (if applicable):</w:t>
            </w:r>
            <w:r w:rsidR="00FC1C03">
              <w:rPr>
                <w:rFonts w:ascii="Gill Sans MT" w:eastAsia="Calibri" w:hAnsi="Gill Sans MT" w:cs="Arial"/>
                <w:color w:val="auto"/>
                <w:sz w:val="20"/>
              </w:rPr>
              <w:t xml:space="preserve"> 2973</w:t>
            </w:r>
          </w:p>
        </w:tc>
      </w:tr>
      <w:tr w:rsidR="00642DA4" w:rsidRPr="00E52176" w14:paraId="772FED80" w14:textId="77777777" w:rsidTr="00E52176">
        <w:trPr>
          <w:jc w:val="center"/>
        </w:trPr>
        <w:tc>
          <w:tcPr>
            <w:tcW w:w="10598" w:type="dxa"/>
            <w:gridSpan w:val="6"/>
            <w:shd w:val="clear" w:color="auto" w:fill="D9E2F3"/>
          </w:tcPr>
          <w:p w14:paraId="78412B88" w14:textId="77777777" w:rsidR="00642DA4" w:rsidRPr="00E52176" w:rsidRDefault="00642DA4" w:rsidP="00642DA4">
            <w:pPr>
              <w:numPr>
                <w:ilvl w:val="0"/>
                <w:numId w:val="11"/>
              </w:numPr>
              <w:spacing w:before="120" w:after="0"/>
              <w:contextualSpacing/>
              <w:jc w:val="both"/>
              <w:rPr>
                <w:rFonts w:ascii="Gill Sans MT" w:eastAsia="Calibri" w:hAnsi="Gill Sans MT" w:cs="Arial"/>
                <w:b/>
                <w:color w:val="auto"/>
                <w:sz w:val="20"/>
              </w:rPr>
            </w:pPr>
            <w:r w:rsidRPr="00E52176">
              <w:rPr>
                <w:rFonts w:ascii="Gill Sans MT" w:eastAsia="Calibri" w:hAnsi="Gill Sans MT" w:cs="Arial"/>
                <w:b/>
                <w:color w:val="auto"/>
                <w:sz w:val="20"/>
              </w:rPr>
              <w:t>Student Declaration</w:t>
            </w:r>
          </w:p>
        </w:tc>
      </w:tr>
      <w:tr w:rsidR="00642DA4" w:rsidRPr="00E52176" w14:paraId="6175BFC2" w14:textId="77777777" w:rsidTr="00E52176">
        <w:trPr>
          <w:jc w:val="center"/>
        </w:trPr>
        <w:tc>
          <w:tcPr>
            <w:tcW w:w="10598" w:type="dxa"/>
            <w:gridSpan w:val="6"/>
          </w:tcPr>
          <w:p w14:paraId="04B73353" w14:textId="77777777"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By signing and submitting this cover sheet, I/we declare that:</w:t>
            </w:r>
          </w:p>
          <w:p w14:paraId="0338B951" w14:textId="77777777" w:rsidR="00642DA4" w:rsidRPr="00E52176" w:rsidRDefault="00642DA4" w:rsidP="00642DA4">
            <w:pPr>
              <w:numPr>
                <w:ilvl w:val="0"/>
                <w:numId w:val="12"/>
              </w:numPr>
              <w:spacing w:before="120" w:after="0"/>
              <w:contextualSpacing/>
              <w:jc w:val="both"/>
              <w:rPr>
                <w:rFonts w:ascii="Gill Sans MT" w:eastAsia="Calibri" w:hAnsi="Gill Sans MT" w:cs="Arial"/>
                <w:color w:val="auto"/>
                <w:sz w:val="20"/>
              </w:rPr>
            </w:pPr>
            <w:r w:rsidRPr="00E52176">
              <w:rPr>
                <w:rFonts w:ascii="Gill Sans MT" w:eastAsia="Calibri" w:hAnsi="Gill Sans MT" w:cs="Arial"/>
                <w:color w:val="auto"/>
                <w:sz w:val="20"/>
              </w:rPr>
              <w:t>This assessment submission is my/our own work unless otherwise acknowledged (including the use of generative AI tools) and is in accordance with the Institute’s</w:t>
            </w:r>
            <w:r w:rsidRPr="00E52176">
              <w:rPr>
                <w:rFonts w:ascii="Gill Sans MT" w:eastAsia="Calibri" w:hAnsi="Gill Sans MT" w:cs="Arial"/>
                <w:b/>
                <w:bCs/>
                <w:color w:val="auto"/>
                <w:sz w:val="20"/>
              </w:rPr>
              <w:t xml:space="preserve"> </w:t>
            </w:r>
            <w:r w:rsidRPr="00E52176">
              <w:rPr>
                <w:rFonts w:ascii="Gill Sans MT" w:eastAsia="Calibri" w:hAnsi="Gill Sans MT" w:cs="Arial"/>
                <w:b/>
                <w:bCs/>
                <w:i/>
                <w:color w:val="auto"/>
                <w:sz w:val="20"/>
              </w:rPr>
              <w:t>Academic Integrity and Honesty Policy</w:t>
            </w:r>
            <w:r w:rsidRPr="00E52176">
              <w:rPr>
                <w:rFonts w:ascii="Gill Sans MT" w:eastAsia="Calibri" w:hAnsi="Gill Sans MT" w:cs="Arial"/>
                <w:b/>
                <w:bCs/>
                <w:color w:val="auto"/>
                <w:sz w:val="20"/>
              </w:rPr>
              <w:t xml:space="preserve"> </w:t>
            </w:r>
            <w:r w:rsidRPr="00E52176">
              <w:rPr>
                <w:rFonts w:ascii="Gill Sans MT" w:eastAsia="Calibri" w:hAnsi="Gill Sans MT" w:cs="Arial"/>
                <w:color w:val="auto"/>
                <w:sz w:val="20"/>
              </w:rPr>
              <w:t>available on the website.</w:t>
            </w:r>
          </w:p>
          <w:p w14:paraId="322A1AD0" w14:textId="77777777" w:rsidR="00642DA4" w:rsidRPr="00E52176" w:rsidRDefault="00642DA4" w:rsidP="00642DA4">
            <w:pPr>
              <w:numPr>
                <w:ilvl w:val="0"/>
                <w:numId w:val="12"/>
              </w:numPr>
              <w:spacing w:before="120" w:after="0"/>
              <w:contextualSpacing/>
              <w:jc w:val="both"/>
              <w:rPr>
                <w:rFonts w:ascii="Gill Sans MT" w:eastAsia="Calibri" w:hAnsi="Gill Sans MT" w:cs="Arial"/>
                <w:color w:val="auto"/>
                <w:sz w:val="20"/>
              </w:rPr>
            </w:pPr>
            <w:r w:rsidRPr="00E52176">
              <w:rPr>
                <w:rFonts w:ascii="Gill Sans MT" w:eastAsia="Calibri" w:hAnsi="Gill Sans MT" w:cs="Arial"/>
                <w:color w:val="auto"/>
                <w:sz w:val="20"/>
              </w:rPr>
              <w:t xml:space="preserve">No part of this assessment has been submitted previously for advanced standing or academic credit in this or any other course. </w:t>
            </w:r>
          </w:p>
          <w:p w14:paraId="145374DC" w14:textId="77777777" w:rsidR="00642DA4" w:rsidRPr="00E52176" w:rsidRDefault="00642DA4" w:rsidP="00642DA4">
            <w:pPr>
              <w:numPr>
                <w:ilvl w:val="0"/>
                <w:numId w:val="12"/>
              </w:numPr>
              <w:spacing w:before="120" w:after="0"/>
              <w:contextualSpacing/>
              <w:jc w:val="both"/>
              <w:rPr>
                <w:rFonts w:ascii="Gill Sans MT" w:eastAsia="Calibri" w:hAnsi="Gill Sans MT" w:cs="Arial"/>
                <w:color w:val="auto"/>
                <w:sz w:val="20"/>
              </w:rPr>
            </w:pPr>
            <w:r w:rsidRPr="00E52176">
              <w:rPr>
                <w:rFonts w:ascii="Gill Sans MT" w:eastAsia="Calibri" w:hAnsi="Gill Sans MT" w:cs="Arial"/>
                <w:color w:val="auto"/>
                <w:sz w:val="20"/>
              </w:rPr>
              <w:t>I/we certify that we have not given a copy or have shown a copy of this assessment item to another student enrolled in the course, other than members of this group.</w:t>
            </w:r>
          </w:p>
          <w:p w14:paraId="60B6D77D" w14:textId="77777777" w:rsidR="00642DA4" w:rsidRPr="00E52176" w:rsidRDefault="00642DA4" w:rsidP="00642DA4">
            <w:pPr>
              <w:numPr>
                <w:ilvl w:val="0"/>
                <w:numId w:val="12"/>
              </w:numPr>
              <w:spacing w:before="120" w:after="0"/>
              <w:contextualSpacing/>
              <w:jc w:val="both"/>
              <w:rPr>
                <w:rFonts w:ascii="Gill Sans MT" w:eastAsia="Calibri" w:hAnsi="Gill Sans MT" w:cs="Arial"/>
                <w:color w:val="auto"/>
                <w:sz w:val="20"/>
              </w:rPr>
            </w:pPr>
            <w:r w:rsidRPr="00E52176">
              <w:rPr>
                <w:rFonts w:ascii="Gill Sans MT" w:eastAsia="Calibri" w:hAnsi="Gill Sans MT" w:cs="Arial"/>
                <w:color w:val="auto"/>
                <w:sz w:val="20"/>
              </w:rPr>
              <w:t>I/we are aware that the Lecturer/Tutor of this assessment may, for the purpose of assessing this assessment task communicate a copy of this assessment task to a plagiarism checking service to detect possible breaches of academic integrity, for example, plagiarism, recycling, cheating, contract cheating, or unauthorised use of generative AI (which may then retain a copy of the item on its database for the purpose of future investigation).</w:t>
            </w:r>
          </w:p>
        </w:tc>
      </w:tr>
      <w:tr w:rsidR="00642DA4" w:rsidRPr="00E52176" w14:paraId="1AEF39E4" w14:textId="77777777" w:rsidTr="00E52176">
        <w:trPr>
          <w:trHeight w:val="422"/>
          <w:jc w:val="center"/>
        </w:trPr>
        <w:tc>
          <w:tcPr>
            <w:tcW w:w="1668" w:type="dxa"/>
          </w:tcPr>
          <w:p w14:paraId="7D4A5E26" w14:textId="77777777"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Signature:</w:t>
            </w:r>
          </w:p>
        </w:tc>
        <w:tc>
          <w:tcPr>
            <w:tcW w:w="3631" w:type="dxa"/>
            <w:gridSpan w:val="2"/>
          </w:tcPr>
          <w:p w14:paraId="290ACE7E" w14:textId="3AE27D0C" w:rsidR="00642DA4" w:rsidRPr="00E52176" w:rsidRDefault="009F09E7" w:rsidP="00642DA4">
            <w:pPr>
              <w:spacing w:before="120"/>
              <w:jc w:val="both"/>
              <w:rPr>
                <w:rFonts w:ascii="Gill Sans MT" w:eastAsia="Calibri" w:hAnsi="Gill Sans MT" w:cs="Arial"/>
                <w:color w:val="auto"/>
                <w:sz w:val="20"/>
              </w:rPr>
            </w:pPr>
            <w:r>
              <w:rPr>
                <w:rFonts w:ascii="Gill Sans MT" w:eastAsia="Calibri" w:hAnsi="Gill Sans MT" w:cs="Arial"/>
                <w:color w:val="auto"/>
                <w:sz w:val="20"/>
              </w:rPr>
              <w:t>RB</w:t>
            </w:r>
          </w:p>
        </w:tc>
        <w:tc>
          <w:tcPr>
            <w:tcW w:w="2039" w:type="dxa"/>
          </w:tcPr>
          <w:p w14:paraId="1EA086D3" w14:textId="77777777" w:rsidR="00642DA4" w:rsidRPr="00E52176" w:rsidRDefault="00642DA4" w:rsidP="00642DA4">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Date:</w:t>
            </w:r>
          </w:p>
        </w:tc>
        <w:tc>
          <w:tcPr>
            <w:tcW w:w="3260" w:type="dxa"/>
            <w:gridSpan w:val="2"/>
          </w:tcPr>
          <w:p w14:paraId="0F611855" w14:textId="3F46ECA7" w:rsidR="00642DA4" w:rsidRPr="00E52176" w:rsidRDefault="000311B0" w:rsidP="00642DA4">
            <w:pPr>
              <w:spacing w:before="120"/>
              <w:jc w:val="both"/>
              <w:rPr>
                <w:rFonts w:ascii="Gill Sans MT" w:eastAsia="Calibri" w:hAnsi="Gill Sans MT" w:cs="Arial"/>
                <w:color w:val="auto"/>
                <w:sz w:val="20"/>
              </w:rPr>
            </w:pPr>
            <w:r>
              <w:rPr>
                <w:rFonts w:ascii="Gill Sans MT" w:eastAsia="Calibri" w:hAnsi="Gill Sans MT" w:cs="Arial"/>
                <w:color w:val="auto"/>
                <w:sz w:val="20"/>
              </w:rPr>
              <w:t>12</w:t>
            </w:r>
            <w:r w:rsidRPr="000311B0">
              <w:rPr>
                <w:rFonts w:ascii="Gill Sans MT" w:eastAsia="Calibri" w:hAnsi="Gill Sans MT" w:cs="Arial"/>
                <w:color w:val="auto"/>
                <w:sz w:val="20"/>
                <w:vertAlign w:val="superscript"/>
              </w:rPr>
              <w:t>th</w:t>
            </w:r>
            <w:r>
              <w:rPr>
                <w:rFonts w:ascii="Gill Sans MT" w:eastAsia="Calibri" w:hAnsi="Gill Sans MT" w:cs="Arial"/>
                <w:color w:val="auto"/>
                <w:sz w:val="20"/>
              </w:rPr>
              <w:t xml:space="preserve"> April, 2026</w:t>
            </w:r>
          </w:p>
        </w:tc>
      </w:tr>
      <w:tr w:rsidR="00BC4747" w:rsidRPr="00E52176" w14:paraId="24BA4D5C" w14:textId="77777777" w:rsidTr="00E52176">
        <w:trPr>
          <w:trHeight w:val="422"/>
          <w:jc w:val="center"/>
        </w:trPr>
        <w:tc>
          <w:tcPr>
            <w:tcW w:w="1668" w:type="dxa"/>
          </w:tcPr>
          <w:p w14:paraId="668C9E77"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Signature:</w:t>
            </w:r>
          </w:p>
        </w:tc>
        <w:tc>
          <w:tcPr>
            <w:tcW w:w="3631" w:type="dxa"/>
            <w:gridSpan w:val="2"/>
          </w:tcPr>
          <w:p w14:paraId="3BA835BD" w14:textId="68BAAC22"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AD</w:t>
            </w:r>
          </w:p>
        </w:tc>
        <w:tc>
          <w:tcPr>
            <w:tcW w:w="2039" w:type="dxa"/>
          </w:tcPr>
          <w:p w14:paraId="3F226CD3"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Date:</w:t>
            </w:r>
          </w:p>
        </w:tc>
        <w:tc>
          <w:tcPr>
            <w:tcW w:w="3260" w:type="dxa"/>
            <w:gridSpan w:val="2"/>
          </w:tcPr>
          <w:p w14:paraId="26B5BA56" w14:textId="5EE7E756"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12</w:t>
            </w:r>
            <w:r w:rsidRPr="000311B0">
              <w:rPr>
                <w:rFonts w:ascii="Gill Sans MT" w:eastAsia="Calibri" w:hAnsi="Gill Sans MT" w:cs="Arial"/>
                <w:color w:val="auto"/>
                <w:sz w:val="20"/>
                <w:vertAlign w:val="superscript"/>
              </w:rPr>
              <w:t>th</w:t>
            </w:r>
            <w:r>
              <w:rPr>
                <w:rFonts w:ascii="Gill Sans MT" w:eastAsia="Calibri" w:hAnsi="Gill Sans MT" w:cs="Arial"/>
                <w:color w:val="auto"/>
                <w:sz w:val="20"/>
              </w:rPr>
              <w:t xml:space="preserve"> April, 2026</w:t>
            </w:r>
          </w:p>
        </w:tc>
      </w:tr>
      <w:tr w:rsidR="00BC4747" w:rsidRPr="00E52176" w14:paraId="44009499" w14:textId="77777777" w:rsidTr="00E52176">
        <w:trPr>
          <w:trHeight w:val="422"/>
          <w:jc w:val="center"/>
        </w:trPr>
        <w:tc>
          <w:tcPr>
            <w:tcW w:w="1668" w:type="dxa"/>
          </w:tcPr>
          <w:p w14:paraId="1A368D47"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Signature:</w:t>
            </w:r>
          </w:p>
        </w:tc>
        <w:tc>
          <w:tcPr>
            <w:tcW w:w="3631" w:type="dxa"/>
            <w:gridSpan w:val="2"/>
          </w:tcPr>
          <w:p w14:paraId="39D6A1E1" w14:textId="7CE67EE1"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NS</w:t>
            </w:r>
          </w:p>
        </w:tc>
        <w:tc>
          <w:tcPr>
            <w:tcW w:w="2039" w:type="dxa"/>
          </w:tcPr>
          <w:p w14:paraId="7A0CFA58"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Date:</w:t>
            </w:r>
          </w:p>
        </w:tc>
        <w:tc>
          <w:tcPr>
            <w:tcW w:w="3260" w:type="dxa"/>
            <w:gridSpan w:val="2"/>
          </w:tcPr>
          <w:p w14:paraId="5EECF85B" w14:textId="01A2A696"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12</w:t>
            </w:r>
            <w:r w:rsidRPr="000311B0">
              <w:rPr>
                <w:rFonts w:ascii="Gill Sans MT" w:eastAsia="Calibri" w:hAnsi="Gill Sans MT" w:cs="Arial"/>
                <w:color w:val="auto"/>
                <w:sz w:val="20"/>
                <w:vertAlign w:val="superscript"/>
              </w:rPr>
              <w:t>th</w:t>
            </w:r>
            <w:r>
              <w:rPr>
                <w:rFonts w:ascii="Gill Sans MT" w:eastAsia="Calibri" w:hAnsi="Gill Sans MT" w:cs="Arial"/>
                <w:color w:val="auto"/>
                <w:sz w:val="20"/>
              </w:rPr>
              <w:t xml:space="preserve"> April, 2026</w:t>
            </w:r>
          </w:p>
        </w:tc>
      </w:tr>
      <w:tr w:rsidR="00BC4747" w:rsidRPr="00E52176" w14:paraId="37F9AA4F" w14:textId="77777777" w:rsidTr="00E52176">
        <w:trPr>
          <w:trHeight w:val="422"/>
          <w:jc w:val="center"/>
        </w:trPr>
        <w:tc>
          <w:tcPr>
            <w:tcW w:w="1668" w:type="dxa"/>
          </w:tcPr>
          <w:p w14:paraId="65518DBE"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Signature:</w:t>
            </w:r>
          </w:p>
        </w:tc>
        <w:tc>
          <w:tcPr>
            <w:tcW w:w="3631" w:type="dxa"/>
            <w:gridSpan w:val="2"/>
          </w:tcPr>
          <w:p w14:paraId="04B79BE7" w14:textId="27D99DBB"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LJ</w:t>
            </w:r>
          </w:p>
        </w:tc>
        <w:tc>
          <w:tcPr>
            <w:tcW w:w="2039" w:type="dxa"/>
          </w:tcPr>
          <w:p w14:paraId="12E49349" w14:textId="77777777" w:rsidR="00BC4747" w:rsidRPr="00E52176" w:rsidRDefault="00BC4747" w:rsidP="00BC4747">
            <w:pPr>
              <w:spacing w:before="120"/>
              <w:jc w:val="both"/>
              <w:rPr>
                <w:rFonts w:ascii="Gill Sans MT" w:eastAsia="Calibri" w:hAnsi="Gill Sans MT" w:cs="Arial"/>
                <w:color w:val="auto"/>
                <w:sz w:val="20"/>
              </w:rPr>
            </w:pPr>
            <w:r w:rsidRPr="00E52176">
              <w:rPr>
                <w:rFonts w:ascii="Gill Sans MT" w:eastAsia="Calibri" w:hAnsi="Gill Sans MT" w:cs="Arial"/>
                <w:color w:val="auto"/>
                <w:sz w:val="20"/>
              </w:rPr>
              <w:t>Date:</w:t>
            </w:r>
          </w:p>
        </w:tc>
        <w:tc>
          <w:tcPr>
            <w:tcW w:w="3260" w:type="dxa"/>
            <w:gridSpan w:val="2"/>
          </w:tcPr>
          <w:p w14:paraId="65F30AFE" w14:textId="57DD81E3" w:rsidR="00BC4747" w:rsidRPr="00E52176" w:rsidRDefault="00BC4747" w:rsidP="00BC4747">
            <w:pPr>
              <w:spacing w:before="120"/>
              <w:jc w:val="both"/>
              <w:rPr>
                <w:rFonts w:ascii="Gill Sans MT" w:eastAsia="Calibri" w:hAnsi="Gill Sans MT" w:cs="Arial"/>
                <w:color w:val="auto"/>
                <w:sz w:val="20"/>
              </w:rPr>
            </w:pPr>
            <w:r>
              <w:rPr>
                <w:rFonts w:ascii="Gill Sans MT" w:eastAsia="Calibri" w:hAnsi="Gill Sans MT" w:cs="Arial"/>
                <w:color w:val="auto"/>
                <w:sz w:val="20"/>
              </w:rPr>
              <w:t>12</w:t>
            </w:r>
            <w:r w:rsidRPr="000311B0">
              <w:rPr>
                <w:rFonts w:ascii="Gill Sans MT" w:eastAsia="Calibri" w:hAnsi="Gill Sans MT" w:cs="Arial"/>
                <w:color w:val="auto"/>
                <w:sz w:val="20"/>
                <w:vertAlign w:val="superscript"/>
              </w:rPr>
              <w:t>th</w:t>
            </w:r>
            <w:r>
              <w:rPr>
                <w:rFonts w:ascii="Gill Sans MT" w:eastAsia="Calibri" w:hAnsi="Gill Sans MT" w:cs="Arial"/>
                <w:color w:val="auto"/>
                <w:sz w:val="20"/>
              </w:rPr>
              <w:t xml:space="preserve"> April, 2026</w:t>
            </w:r>
          </w:p>
        </w:tc>
      </w:tr>
    </w:tbl>
    <w:p w14:paraId="00077218" w14:textId="77777777" w:rsidR="00E52176" w:rsidRPr="00E52176" w:rsidRDefault="00E52176" w:rsidP="00E52176">
      <w:pPr>
        <w:rPr>
          <w:lang w:eastAsia="zh-CN"/>
        </w:rPr>
      </w:pPr>
    </w:p>
    <w:p w14:paraId="060118DF" w14:textId="77777777" w:rsidR="00E52176" w:rsidRPr="00E52176" w:rsidRDefault="00E52176" w:rsidP="00E52176"/>
    <w:p w14:paraId="58AFB78B" w14:textId="2C27980E" w:rsidR="00104F01" w:rsidRPr="00370B2A" w:rsidRDefault="00000000" w:rsidP="00FC1C03">
      <w:pPr>
        <w:spacing w:before="1600" w:line="480" w:lineRule="auto"/>
        <w:jc w:val="center"/>
        <w:rPr>
          <w:rFonts w:ascii="Gill Sans MT" w:hAnsi="Gill Sans MT"/>
          <w:b/>
          <w:color w:val="auto"/>
          <w:sz w:val="48"/>
        </w:rPr>
      </w:pPr>
      <w:r w:rsidRPr="00370B2A">
        <w:rPr>
          <w:rFonts w:ascii="Gill Sans MT" w:hAnsi="Gill Sans MT"/>
          <w:b/>
          <w:color w:val="auto"/>
          <w:sz w:val="48"/>
        </w:rPr>
        <w:lastRenderedPageBreak/>
        <w:t>Strategy Formulation Plan for Woolworths Group</w:t>
      </w:r>
    </w:p>
    <w:p w14:paraId="641F82ED" w14:textId="77777777" w:rsidR="00DF5CAC" w:rsidRPr="00370B2A" w:rsidRDefault="00DF5CAC" w:rsidP="00FC1C03">
      <w:pPr>
        <w:spacing w:before="1600" w:line="480" w:lineRule="auto"/>
        <w:jc w:val="center"/>
        <w:rPr>
          <w:rFonts w:ascii="Gill Sans MT" w:hAnsi="Gill Sans MT"/>
          <w:b/>
          <w:color w:val="auto"/>
          <w:sz w:val="48"/>
        </w:rPr>
      </w:pPr>
    </w:p>
    <w:p w14:paraId="0AC87B83" w14:textId="77777777" w:rsidR="00DF5CAC" w:rsidRPr="00370B2A" w:rsidRDefault="00DF5CAC" w:rsidP="00FC1C03">
      <w:pPr>
        <w:spacing w:before="1600" w:line="480" w:lineRule="auto"/>
        <w:jc w:val="center"/>
        <w:rPr>
          <w:rFonts w:ascii="Gill Sans MT" w:hAnsi="Gill Sans MT"/>
          <w:b/>
          <w:color w:val="auto"/>
          <w:sz w:val="48"/>
        </w:rPr>
      </w:pPr>
    </w:p>
    <w:p w14:paraId="6E19F702" w14:textId="77777777" w:rsidR="00DF5CAC" w:rsidRPr="00370B2A" w:rsidRDefault="00DF5CAC" w:rsidP="00FC1C03">
      <w:pPr>
        <w:spacing w:before="1600" w:line="480" w:lineRule="auto"/>
        <w:jc w:val="center"/>
        <w:rPr>
          <w:rFonts w:ascii="Gill Sans MT" w:hAnsi="Gill Sans MT"/>
          <w:color w:val="auto"/>
        </w:rPr>
      </w:pPr>
    </w:p>
    <w:p w14:paraId="786BDA3B" w14:textId="7D28065C" w:rsidR="00104F01" w:rsidRPr="00370B2A" w:rsidRDefault="00000000" w:rsidP="00FC1C03">
      <w:pPr>
        <w:pStyle w:val="Heading1"/>
      </w:pPr>
      <w:bookmarkStart w:id="0" w:name="_Toc226844781"/>
      <w:r w:rsidRPr="00370B2A">
        <w:lastRenderedPageBreak/>
        <w:t>Executive Summary</w:t>
      </w:r>
      <w:bookmarkEnd w:id="0"/>
    </w:p>
    <w:p w14:paraId="5CA00B6F" w14:textId="77777777" w:rsidR="00104F01" w:rsidRPr="00370B2A" w:rsidRDefault="00000000" w:rsidP="00FC1C03">
      <w:pPr>
        <w:keepLines/>
        <w:spacing w:line="480" w:lineRule="auto"/>
        <w:jc w:val="both"/>
        <w:rPr>
          <w:rFonts w:ascii="Gill Sans MT" w:hAnsi="Gill Sans MT"/>
          <w:color w:val="auto"/>
          <w:sz w:val="24"/>
          <w:szCs w:val="24"/>
        </w:rPr>
      </w:pPr>
      <w:r w:rsidRPr="00370B2A">
        <w:rPr>
          <w:rFonts w:ascii="Gill Sans MT" w:hAnsi="Gill Sans MT"/>
          <w:color w:val="auto"/>
          <w:sz w:val="24"/>
          <w:szCs w:val="24"/>
        </w:rPr>
        <w:t xml:space="preserve">Woolworths Group remains the leading full-line grocery retailer in Australia, but its recent strategic context has been defined by intense value competition, public scrutiny over pricing, supply-chain disruption, and the need to rebuild customer trust while defending margins. Current company disclosures show that Woolworths is responding by sharpening its food-led focus, simplifying the portfolio, improving retail execution, and leveraging loyalty, technology and AI capabilities to support long-term growth (Woolworths Group, 2025a, 2025b, 2026a). This report argues that Woolworths should not pursue a narrow low-price strategy. Instead, it should strengthen a hybrid value strategy in which trusted price, fresh-food differentiation, convenience and ecosystem advantages are mutually reinforcing. The SWOT analysis indicates that Woolworths’ scale, store network, supply-chain assets, own-brand capability, Everyday Rewards ecosystem and data infrastructure remain major strengths, while trust fragility, cost complexity and uneven group returns remain material constraints. The central recommendation is a strategy formulation plan built around four priorities: food-core focus, disciplined value leadership, omnichannel productivity, and selective ecosystem growth. These priorities are translated into coordinated functional, business and corporate strategies, followed by a staged implementation plan and balanced monitoring system. If executed well, the proposed strategy should improve customer advocacy, </w:t>
      </w:r>
      <w:proofErr w:type="spellStart"/>
      <w:r w:rsidRPr="00370B2A">
        <w:rPr>
          <w:rFonts w:ascii="Gill Sans MT" w:hAnsi="Gill Sans MT"/>
          <w:color w:val="auto"/>
          <w:sz w:val="24"/>
          <w:szCs w:val="24"/>
        </w:rPr>
        <w:t>stabilise</w:t>
      </w:r>
      <w:proofErr w:type="spellEnd"/>
      <w:r w:rsidRPr="00370B2A">
        <w:rPr>
          <w:rFonts w:ascii="Gill Sans MT" w:hAnsi="Gill Sans MT"/>
          <w:color w:val="auto"/>
          <w:sz w:val="24"/>
          <w:szCs w:val="24"/>
        </w:rPr>
        <w:t xml:space="preserve"> market share, lift productivity and returns, strengthen resilience, and support more sustainable long-term value creation for customers, team members, suppliers and shareholders.</w:t>
      </w:r>
    </w:p>
    <w:p w14:paraId="02E380DD" w14:textId="77777777" w:rsidR="00104F01" w:rsidRPr="00370B2A" w:rsidRDefault="00104F01" w:rsidP="00FC1C03">
      <w:pPr>
        <w:spacing w:line="480" w:lineRule="auto"/>
        <w:rPr>
          <w:rFonts w:ascii="Gill Sans MT" w:hAnsi="Gill Sans MT"/>
          <w:color w:val="auto"/>
        </w:rPr>
      </w:pPr>
    </w:p>
    <w:p w14:paraId="4E688E51" w14:textId="154B3CFC" w:rsidR="00104F01" w:rsidRPr="00370B2A" w:rsidRDefault="00104F01" w:rsidP="00FC1C03">
      <w:pPr>
        <w:spacing w:after="40" w:line="480" w:lineRule="auto"/>
        <w:rPr>
          <w:rFonts w:ascii="Gill Sans MT" w:hAnsi="Gill Sans MT"/>
          <w:color w:val="auto"/>
        </w:rPr>
      </w:pPr>
    </w:p>
    <w:p w14:paraId="05843FA7" w14:textId="77777777" w:rsidR="00DF5CAC" w:rsidRPr="00370B2A" w:rsidRDefault="00DF5CAC" w:rsidP="00FC1C03">
      <w:pPr>
        <w:spacing w:after="40" w:line="480" w:lineRule="auto"/>
        <w:rPr>
          <w:rFonts w:ascii="Gill Sans MT" w:hAnsi="Gill Sans MT"/>
          <w:color w:val="auto"/>
        </w:rPr>
      </w:pPr>
    </w:p>
    <w:p w14:paraId="0876ABB9" w14:textId="77777777" w:rsidR="00DF5CAC" w:rsidRPr="00370B2A" w:rsidRDefault="00DF5CAC" w:rsidP="00FC1C03">
      <w:pPr>
        <w:spacing w:after="40" w:line="480" w:lineRule="auto"/>
        <w:rPr>
          <w:rFonts w:ascii="Gill Sans MT" w:hAnsi="Gill Sans MT"/>
          <w:color w:val="auto"/>
        </w:rPr>
      </w:pPr>
    </w:p>
    <w:p w14:paraId="391554AE" w14:textId="77777777" w:rsidR="00DF5CAC" w:rsidRPr="00370B2A" w:rsidRDefault="00DF5CAC" w:rsidP="00FC1C03">
      <w:pPr>
        <w:spacing w:after="40" w:line="480" w:lineRule="auto"/>
        <w:rPr>
          <w:rFonts w:ascii="Gill Sans MT" w:hAnsi="Gill Sans MT"/>
          <w:color w:val="auto"/>
        </w:rPr>
      </w:pPr>
    </w:p>
    <w:p w14:paraId="10CC5B52" w14:textId="77777777" w:rsidR="00DF5CAC" w:rsidRPr="00370B2A" w:rsidRDefault="00DF5CAC" w:rsidP="00FC1C03">
      <w:pPr>
        <w:spacing w:after="40" w:line="480" w:lineRule="auto"/>
        <w:rPr>
          <w:rFonts w:ascii="Gill Sans MT" w:hAnsi="Gill Sans MT"/>
          <w:color w:val="auto"/>
        </w:rPr>
      </w:pPr>
    </w:p>
    <w:sdt>
      <w:sdtPr>
        <w:rPr>
          <w:rFonts w:ascii="Aptos" w:eastAsiaTheme="minorEastAsia" w:hAnsi="Aptos" w:cstheme="minorBidi"/>
          <w:b w:val="0"/>
          <w:bCs w:val="0"/>
          <w:color w:val="222222"/>
          <w:sz w:val="21"/>
          <w:szCs w:val="22"/>
        </w:rPr>
        <w:id w:val="-593469324"/>
        <w:docPartObj>
          <w:docPartGallery w:val="Table of Contents"/>
          <w:docPartUnique/>
        </w:docPartObj>
      </w:sdtPr>
      <w:sdtEndPr>
        <w:rPr>
          <w:noProof/>
        </w:rPr>
      </w:sdtEndPr>
      <w:sdtContent>
        <w:p w14:paraId="3F5A7C2D" w14:textId="473F9C02" w:rsidR="00DF5CAC" w:rsidRPr="00370B2A" w:rsidRDefault="00DF5CAC" w:rsidP="00FC1C03">
          <w:pPr>
            <w:pStyle w:val="TOCHeading"/>
          </w:pPr>
          <w:r w:rsidRPr="00370B2A">
            <w:t>Table of Contents</w:t>
          </w:r>
        </w:p>
        <w:p w14:paraId="70B836AD" w14:textId="203BB4E9" w:rsidR="00370B2A" w:rsidRPr="00370B2A" w:rsidRDefault="00DF5CAC" w:rsidP="00FC1C03">
          <w:pPr>
            <w:pStyle w:val="TOC1"/>
            <w:tabs>
              <w:tab w:val="right" w:leader="dot" w:pos="9160"/>
            </w:tabs>
            <w:spacing w:line="480" w:lineRule="auto"/>
            <w:rPr>
              <w:rFonts w:ascii="Gill Sans MT" w:hAnsi="Gill Sans MT"/>
              <w:noProof/>
              <w:color w:val="auto"/>
              <w:kern w:val="2"/>
              <w:sz w:val="24"/>
              <w:szCs w:val="24"/>
              <w14:ligatures w14:val="standardContextual"/>
            </w:rPr>
          </w:pPr>
          <w:r w:rsidRPr="00370B2A">
            <w:rPr>
              <w:rFonts w:ascii="Gill Sans MT" w:hAnsi="Gill Sans MT"/>
            </w:rPr>
            <w:fldChar w:fldCharType="begin"/>
          </w:r>
          <w:r w:rsidRPr="00370B2A">
            <w:rPr>
              <w:rFonts w:ascii="Gill Sans MT" w:hAnsi="Gill Sans MT"/>
            </w:rPr>
            <w:instrText xml:space="preserve"> TOC \o "1-3" \h \z \u </w:instrText>
          </w:r>
          <w:r w:rsidRPr="00370B2A">
            <w:rPr>
              <w:rFonts w:ascii="Gill Sans MT" w:hAnsi="Gill Sans MT"/>
            </w:rPr>
            <w:fldChar w:fldCharType="separate"/>
          </w:r>
          <w:hyperlink w:anchor="_Toc226844781" w:history="1">
            <w:r w:rsidR="00370B2A" w:rsidRPr="00370B2A">
              <w:rPr>
                <w:rStyle w:val="Hyperlink"/>
                <w:rFonts w:ascii="Gill Sans MT" w:hAnsi="Gill Sans MT"/>
                <w:noProof/>
              </w:rPr>
              <w:t>Executive Summary</w:t>
            </w:r>
            <w:r w:rsidR="00370B2A" w:rsidRPr="00370B2A">
              <w:rPr>
                <w:rFonts w:ascii="Gill Sans MT" w:hAnsi="Gill Sans MT"/>
                <w:noProof/>
                <w:webHidden/>
              </w:rPr>
              <w:tab/>
            </w:r>
            <w:r w:rsidR="00370B2A" w:rsidRPr="00370B2A">
              <w:rPr>
                <w:rFonts w:ascii="Gill Sans MT" w:hAnsi="Gill Sans MT"/>
                <w:noProof/>
                <w:webHidden/>
              </w:rPr>
              <w:fldChar w:fldCharType="begin"/>
            </w:r>
            <w:r w:rsidR="00370B2A" w:rsidRPr="00370B2A">
              <w:rPr>
                <w:rFonts w:ascii="Gill Sans MT" w:hAnsi="Gill Sans MT"/>
                <w:noProof/>
                <w:webHidden/>
              </w:rPr>
              <w:instrText xml:space="preserve"> PAGEREF _Toc226844781 \h </w:instrText>
            </w:r>
            <w:r w:rsidR="00370B2A" w:rsidRPr="00370B2A">
              <w:rPr>
                <w:rFonts w:ascii="Gill Sans MT" w:hAnsi="Gill Sans MT"/>
                <w:noProof/>
                <w:webHidden/>
              </w:rPr>
            </w:r>
            <w:r w:rsidR="00370B2A" w:rsidRPr="00370B2A">
              <w:rPr>
                <w:rFonts w:ascii="Gill Sans MT" w:hAnsi="Gill Sans MT"/>
                <w:noProof/>
                <w:webHidden/>
              </w:rPr>
              <w:fldChar w:fldCharType="separate"/>
            </w:r>
            <w:r w:rsidR="00370B2A" w:rsidRPr="00370B2A">
              <w:rPr>
                <w:rFonts w:ascii="Gill Sans MT" w:hAnsi="Gill Sans MT"/>
                <w:noProof/>
                <w:webHidden/>
              </w:rPr>
              <w:t>2</w:t>
            </w:r>
            <w:r w:rsidR="00370B2A" w:rsidRPr="00370B2A">
              <w:rPr>
                <w:rFonts w:ascii="Gill Sans MT" w:hAnsi="Gill Sans MT"/>
                <w:noProof/>
                <w:webHidden/>
              </w:rPr>
              <w:fldChar w:fldCharType="end"/>
            </w:r>
          </w:hyperlink>
        </w:p>
        <w:p w14:paraId="661691A4" w14:textId="3D0BE01F" w:rsidR="00370B2A" w:rsidRPr="00370B2A" w:rsidRDefault="00370B2A" w:rsidP="00FC1C03">
          <w:pPr>
            <w:pStyle w:val="TOC1"/>
            <w:tabs>
              <w:tab w:val="right" w:leader="dot" w:pos="9160"/>
            </w:tabs>
            <w:spacing w:line="480" w:lineRule="auto"/>
            <w:rPr>
              <w:rFonts w:ascii="Gill Sans MT" w:hAnsi="Gill Sans MT"/>
              <w:noProof/>
              <w:color w:val="auto"/>
              <w:kern w:val="2"/>
              <w:sz w:val="24"/>
              <w:szCs w:val="24"/>
              <w14:ligatures w14:val="standardContextual"/>
            </w:rPr>
          </w:pPr>
          <w:hyperlink w:anchor="_Toc226844782" w:history="1">
            <w:r w:rsidRPr="00370B2A">
              <w:rPr>
                <w:rStyle w:val="Hyperlink"/>
                <w:rFonts w:ascii="Gill Sans MT" w:hAnsi="Gill Sans MT"/>
                <w:noProof/>
              </w:rPr>
              <w:t>1. Introduction</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_Toc226844782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4</w:t>
            </w:r>
            <w:r w:rsidRPr="00370B2A">
              <w:rPr>
                <w:rFonts w:ascii="Gill Sans MT" w:hAnsi="Gill Sans MT"/>
                <w:noProof/>
                <w:webHidden/>
              </w:rPr>
              <w:fldChar w:fldCharType="end"/>
            </w:r>
          </w:hyperlink>
        </w:p>
        <w:p w14:paraId="0ADE3818" w14:textId="5C1B3890" w:rsidR="00370B2A" w:rsidRPr="00370B2A" w:rsidRDefault="00370B2A" w:rsidP="00FC1C03">
          <w:pPr>
            <w:pStyle w:val="TOC1"/>
            <w:tabs>
              <w:tab w:val="right" w:leader="dot" w:pos="9160"/>
            </w:tabs>
            <w:spacing w:line="480" w:lineRule="auto"/>
            <w:rPr>
              <w:rFonts w:ascii="Gill Sans MT" w:hAnsi="Gill Sans MT"/>
              <w:noProof/>
              <w:color w:val="auto"/>
              <w:kern w:val="2"/>
              <w:sz w:val="24"/>
              <w:szCs w:val="24"/>
              <w14:ligatures w14:val="standardContextual"/>
            </w:rPr>
          </w:pPr>
          <w:hyperlink w:anchor="_Toc226844783" w:history="1">
            <w:r w:rsidRPr="00370B2A">
              <w:rPr>
                <w:rStyle w:val="Hyperlink"/>
                <w:rFonts w:ascii="Gill Sans MT" w:hAnsi="Gill Sans MT"/>
                <w:noProof/>
              </w:rPr>
              <w:t>2. Strategy Formulation Plan</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_Toc226844783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5</w:t>
            </w:r>
            <w:r w:rsidRPr="00370B2A">
              <w:rPr>
                <w:rFonts w:ascii="Gill Sans MT" w:hAnsi="Gill Sans MT"/>
                <w:noProof/>
                <w:webHidden/>
              </w:rPr>
              <w:fldChar w:fldCharType="end"/>
            </w:r>
          </w:hyperlink>
        </w:p>
        <w:p w14:paraId="0A1A9955" w14:textId="48A4A98A"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4" w:history="1">
            <w:r w:rsidRPr="00370B2A">
              <w:rPr>
                <w:rStyle w:val="Hyperlink"/>
                <w:rFonts w:ascii="Gill Sans MT" w:hAnsi="Gill Sans MT"/>
                <w:noProof/>
              </w:rPr>
              <w:t>2.1 Existing Business Model</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_Toc226844784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5</w:t>
            </w:r>
            <w:r w:rsidRPr="00370B2A">
              <w:rPr>
                <w:rFonts w:ascii="Gill Sans MT" w:hAnsi="Gill Sans MT"/>
                <w:noProof/>
                <w:webHidden/>
              </w:rPr>
              <w:fldChar w:fldCharType="end"/>
            </w:r>
          </w:hyperlink>
        </w:p>
        <w:p w14:paraId="39791697" w14:textId="2485BAF4"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5" w:history="1">
            <w:r w:rsidRPr="00370B2A">
              <w:rPr>
                <w:rStyle w:val="Hyperlink"/>
                <w:rFonts w:ascii="Gill Sans MT" w:hAnsi="Gill Sans MT"/>
                <w:noProof/>
              </w:rPr>
              <w:t>2.2 Corporate Mission, Vision, and Goals</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_Toc226844785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6</w:t>
            </w:r>
            <w:r w:rsidRPr="00370B2A">
              <w:rPr>
                <w:rFonts w:ascii="Gill Sans MT" w:hAnsi="Gill Sans MT"/>
                <w:noProof/>
                <w:webHidden/>
              </w:rPr>
              <w:fldChar w:fldCharType="end"/>
            </w:r>
          </w:hyperlink>
        </w:p>
        <w:p w14:paraId="756467FC" w14:textId="7DD25B5B"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6" w:history="1">
            <w:r w:rsidRPr="00370B2A">
              <w:rPr>
                <w:rStyle w:val="Hyperlink"/>
                <w:rFonts w:ascii="Gill Sans MT" w:hAnsi="Gill Sans MT"/>
                <w:noProof/>
              </w:rPr>
              <w:t>2.3 SWOT Analysis</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_Toc226844786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7</w:t>
            </w:r>
            <w:r w:rsidRPr="00370B2A">
              <w:rPr>
                <w:rFonts w:ascii="Gill Sans MT" w:hAnsi="Gill Sans MT"/>
                <w:noProof/>
                <w:webHidden/>
              </w:rPr>
              <w:fldChar w:fldCharType="end"/>
            </w:r>
          </w:hyperlink>
        </w:p>
        <w:p w14:paraId="27F6132D" w14:textId="6123EA8E"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7" w:history="1">
            <w:r w:rsidRPr="00370B2A">
              <w:rPr>
                <w:rStyle w:val="Hyperlink"/>
                <w:rFonts w:ascii="Gill Sans MT" w:hAnsi="Gill Sans MT"/>
                <w:noProof/>
              </w:rPr>
              <w:t>2.4 Strategic Implications from SWOT</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_Toc226844787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8</w:t>
            </w:r>
            <w:r w:rsidRPr="00370B2A">
              <w:rPr>
                <w:rFonts w:ascii="Gill Sans MT" w:hAnsi="Gill Sans MT"/>
                <w:noProof/>
                <w:webHidden/>
              </w:rPr>
              <w:fldChar w:fldCharType="end"/>
            </w:r>
          </w:hyperlink>
        </w:p>
        <w:p w14:paraId="264A7D17" w14:textId="69071F9E"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8" w:history="1">
            <w:r w:rsidRPr="00370B2A">
              <w:rPr>
                <w:rStyle w:val="Hyperlink"/>
                <w:rFonts w:ascii="Gill Sans MT" w:hAnsi="Gill Sans MT"/>
                <w:noProof/>
              </w:rPr>
              <w:t>2.5 Functional-Level Strategies</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_Toc226844788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9</w:t>
            </w:r>
            <w:r w:rsidRPr="00370B2A">
              <w:rPr>
                <w:rFonts w:ascii="Gill Sans MT" w:hAnsi="Gill Sans MT"/>
                <w:noProof/>
                <w:webHidden/>
              </w:rPr>
              <w:fldChar w:fldCharType="end"/>
            </w:r>
          </w:hyperlink>
        </w:p>
        <w:p w14:paraId="12ADA9BC" w14:textId="3FEA54C9"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89" w:history="1">
            <w:r w:rsidRPr="00370B2A">
              <w:rPr>
                <w:rStyle w:val="Hyperlink"/>
                <w:rFonts w:ascii="Gill Sans MT" w:hAnsi="Gill Sans MT"/>
                <w:noProof/>
              </w:rPr>
              <w:t>2.6 Business-Level Strategy</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_Toc226844789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11</w:t>
            </w:r>
            <w:r w:rsidRPr="00370B2A">
              <w:rPr>
                <w:rFonts w:ascii="Gill Sans MT" w:hAnsi="Gill Sans MT"/>
                <w:noProof/>
                <w:webHidden/>
              </w:rPr>
              <w:fldChar w:fldCharType="end"/>
            </w:r>
          </w:hyperlink>
        </w:p>
        <w:p w14:paraId="2B5544A0" w14:textId="34E4BDBE"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90" w:history="1">
            <w:r w:rsidRPr="00370B2A">
              <w:rPr>
                <w:rStyle w:val="Hyperlink"/>
                <w:rFonts w:ascii="Gill Sans MT" w:hAnsi="Gill Sans MT"/>
                <w:noProof/>
              </w:rPr>
              <w:t>2.7 Corporate-Level Strategies</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_Toc226844790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12</w:t>
            </w:r>
            <w:r w:rsidRPr="00370B2A">
              <w:rPr>
                <w:rFonts w:ascii="Gill Sans MT" w:hAnsi="Gill Sans MT"/>
                <w:noProof/>
                <w:webHidden/>
              </w:rPr>
              <w:fldChar w:fldCharType="end"/>
            </w:r>
          </w:hyperlink>
        </w:p>
        <w:p w14:paraId="013671DD" w14:textId="0416CF20"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91" w:history="1">
            <w:r w:rsidRPr="00370B2A">
              <w:rPr>
                <w:rStyle w:val="Hyperlink"/>
                <w:rFonts w:ascii="Gill Sans MT" w:hAnsi="Gill Sans MT"/>
                <w:noProof/>
              </w:rPr>
              <w:t>2.8 Strategy Implementation</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_Toc226844791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13</w:t>
            </w:r>
            <w:r w:rsidRPr="00370B2A">
              <w:rPr>
                <w:rFonts w:ascii="Gill Sans MT" w:hAnsi="Gill Sans MT"/>
                <w:noProof/>
                <w:webHidden/>
              </w:rPr>
              <w:fldChar w:fldCharType="end"/>
            </w:r>
          </w:hyperlink>
        </w:p>
        <w:p w14:paraId="20BAE68E" w14:textId="0965A593" w:rsidR="00370B2A" w:rsidRPr="00370B2A" w:rsidRDefault="00370B2A" w:rsidP="00FC1C03">
          <w:pPr>
            <w:pStyle w:val="TOC2"/>
            <w:tabs>
              <w:tab w:val="right" w:leader="dot" w:pos="9160"/>
            </w:tabs>
            <w:spacing w:line="480" w:lineRule="auto"/>
            <w:rPr>
              <w:rFonts w:ascii="Gill Sans MT" w:hAnsi="Gill Sans MT"/>
              <w:noProof/>
              <w:color w:val="auto"/>
              <w:kern w:val="2"/>
              <w:sz w:val="24"/>
              <w:szCs w:val="24"/>
              <w14:ligatures w14:val="standardContextual"/>
            </w:rPr>
          </w:pPr>
          <w:hyperlink w:anchor="_Toc226844792" w:history="1">
            <w:r w:rsidRPr="00370B2A">
              <w:rPr>
                <w:rStyle w:val="Hyperlink"/>
                <w:rFonts w:ascii="Gill Sans MT" w:hAnsi="Gill Sans MT"/>
                <w:noProof/>
              </w:rPr>
              <w:t>2.9 Monitoring and Control</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_Toc226844792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14</w:t>
            </w:r>
            <w:r w:rsidRPr="00370B2A">
              <w:rPr>
                <w:rFonts w:ascii="Gill Sans MT" w:hAnsi="Gill Sans MT"/>
                <w:noProof/>
                <w:webHidden/>
              </w:rPr>
              <w:fldChar w:fldCharType="end"/>
            </w:r>
          </w:hyperlink>
        </w:p>
        <w:p w14:paraId="3D2BA310" w14:textId="25A8A12B" w:rsidR="00370B2A" w:rsidRPr="00370B2A" w:rsidRDefault="00370B2A" w:rsidP="00FC1C03">
          <w:pPr>
            <w:pStyle w:val="TOC1"/>
            <w:tabs>
              <w:tab w:val="right" w:leader="dot" w:pos="9160"/>
            </w:tabs>
            <w:spacing w:line="480" w:lineRule="auto"/>
            <w:rPr>
              <w:rFonts w:ascii="Gill Sans MT" w:hAnsi="Gill Sans MT"/>
              <w:noProof/>
              <w:color w:val="auto"/>
              <w:kern w:val="2"/>
              <w:sz w:val="24"/>
              <w:szCs w:val="24"/>
              <w14:ligatures w14:val="standardContextual"/>
            </w:rPr>
          </w:pPr>
          <w:hyperlink w:anchor="_Toc226844793" w:history="1">
            <w:r w:rsidRPr="00370B2A">
              <w:rPr>
                <w:rStyle w:val="Hyperlink"/>
                <w:rFonts w:ascii="Gill Sans MT" w:hAnsi="Gill Sans MT"/>
                <w:noProof/>
              </w:rPr>
              <w:t>3. Conclusion</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_Toc226844793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17</w:t>
            </w:r>
            <w:r w:rsidRPr="00370B2A">
              <w:rPr>
                <w:rFonts w:ascii="Gill Sans MT" w:hAnsi="Gill Sans MT"/>
                <w:noProof/>
                <w:webHidden/>
              </w:rPr>
              <w:fldChar w:fldCharType="end"/>
            </w:r>
          </w:hyperlink>
        </w:p>
        <w:p w14:paraId="4E1B7B1C" w14:textId="7D5DEA59" w:rsidR="00370B2A" w:rsidRPr="00370B2A" w:rsidRDefault="00370B2A" w:rsidP="00FC1C03">
          <w:pPr>
            <w:pStyle w:val="TOC1"/>
            <w:tabs>
              <w:tab w:val="right" w:leader="dot" w:pos="9160"/>
            </w:tabs>
            <w:spacing w:line="480" w:lineRule="auto"/>
            <w:rPr>
              <w:rFonts w:ascii="Gill Sans MT" w:hAnsi="Gill Sans MT"/>
              <w:noProof/>
              <w:color w:val="auto"/>
              <w:kern w:val="2"/>
              <w:sz w:val="24"/>
              <w:szCs w:val="24"/>
              <w14:ligatures w14:val="standardContextual"/>
            </w:rPr>
          </w:pPr>
          <w:hyperlink w:anchor="_Toc226844794" w:history="1">
            <w:r w:rsidRPr="00370B2A">
              <w:rPr>
                <w:rStyle w:val="Hyperlink"/>
                <w:rFonts w:ascii="Gill Sans MT" w:hAnsi="Gill Sans MT"/>
                <w:noProof/>
              </w:rPr>
              <w:t>4. Brief Justification of Chosen Format</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_Toc226844794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18</w:t>
            </w:r>
            <w:r w:rsidRPr="00370B2A">
              <w:rPr>
                <w:rFonts w:ascii="Gill Sans MT" w:hAnsi="Gill Sans MT"/>
                <w:noProof/>
                <w:webHidden/>
              </w:rPr>
              <w:fldChar w:fldCharType="end"/>
            </w:r>
          </w:hyperlink>
        </w:p>
        <w:p w14:paraId="0F4EBEB0" w14:textId="3409F324" w:rsidR="00370B2A" w:rsidRPr="00370B2A" w:rsidRDefault="00370B2A" w:rsidP="00FC1C03">
          <w:pPr>
            <w:pStyle w:val="TOC1"/>
            <w:tabs>
              <w:tab w:val="right" w:leader="dot" w:pos="9160"/>
            </w:tabs>
            <w:spacing w:line="480" w:lineRule="auto"/>
            <w:rPr>
              <w:rFonts w:ascii="Gill Sans MT" w:hAnsi="Gill Sans MT"/>
              <w:noProof/>
              <w:color w:val="auto"/>
              <w:kern w:val="2"/>
              <w:sz w:val="24"/>
              <w:szCs w:val="24"/>
              <w14:ligatures w14:val="standardContextual"/>
            </w:rPr>
          </w:pPr>
          <w:hyperlink w:anchor="_Toc226844795" w:history="1">
            <w:r w:rsidRPr="00370B2A">
              <w:rPr>
                <w:rStyle w:val="Hyperlink"/>
                <w:rFonts w:ascii="Gill Sans MT" w:hAnsi="Gill Sans MT"/>
                <w:noProof/>
              </w:rPr>
              <w:t>5. References</w:t>
            </w:r>
            <w:r w:rsidRPr="00370B2A">
              <w:rPr>
                <w:rFonts w:ascii="Gill Sans MT" w:hAnsi="Gill Sans MT"/>
                <w:noProof/>
                <w:webHidden/>
              </w:rPr>
              <w:tab/>
            </w:r>
            <w:r w:rsidRPr="00370B2A">
              <w:rPr>
                <w:rFonts w:ascii="Gill Sans MT" w:hAnsi="Gill Sans MT"/>
                <w:noProof/>
                <w:webHidden/>
              </w:rPr>
              <w:fldChar w:fldCharType="begin"/>
            </w:r>
            <w:r w:rsidRPr="00370B2A">
              <w:rPr>
                <w:rFonts w:ascii="Gill Sans MT" w:hAnsi="Gill Sans MT"/>
                <w:noProof/>
                <w:webHidden/>
              </w:rPr>
              <w:instrText xml:space="preserve"> PAGEREF _Toc226844795 \h </w:instrText>
            </w:r>
            <w:r w:rsidRPr="00370B2A">
              <w:rPr>
                <w:rFonts w:ascii="Gill Sans MT" w:hAnsi="Gill Sans MT"/>
                <w:noProof/>
                <w:webHidden/>
              </w:rPr>
            </w:r>
            <w:r w:rsidRPr="00370B2A">
              <w:rPr>
                <w:rFonts w:ascii="Gill Sans MT" w:hAnsi="Gill Sans MT"/>
                <w:noProof/>
                <w:webHidden/>
              </w:rPr>
              <w:fldChar w:fldCharType="separate"/>
            </w:r>
            <w:r w:rsidRPr="00370B2A">
              <w:rPr>
                <w:rFonts w:ascii="Gill Sans MT" w:hAnsi="Gill Sans MT"/>
                <w:noProof/>
                <w:webHidden/>
              </w:rPr>
              <w:t>19</w:t>
            </w:r>
            <w:r w:rsidRPr="00370B2A">
              <w:rPr>
                <w:rFonts w:ascii="Gill Sans MT" w:hAnsi="Gill Sans MT"/>
                <w:noProof/>
                <w:webHidden/>
              </w:rPr>
              <w:fldChar w:fldCharType="end"/>
            </w:r>
          </w:hyperlink>
        </w:p>
        <w:p w14:paraId="0D5A8FF6" w14:textId="5AF60D6C" w:rsidR="00DF5CAC" w:rsidRPr="00370B2A" w:rsidRDefault="00DF5CAC" w:rsidP="00FC1C03">
          <w:pPr>
            <w:spacing w:line="480" w:lineRule="auto"/>
            <w:rPr>
              <w:rFonts w:ascii="Gill Sans MT" w:hAnsi="Gill Sans MT"/>
            </w:rPr>
          </w:pPr>
          <w:r w:rsidRPr="00370B2A">
            <w:rPr>
              <w:rFonts w:ascii="Gill Sans MT" w:hAnsi="Gill Sans MT"/>
              <w:b/>
              <w:bCs/>
              <w:noProof/>
            </w:rPr>
            <w:fldChar w:fldCharType="end"/>
          </w:r>
        </w:p>
      </w:sdtContent>
    </w:sdt>
    <w:p w14:paraId="118907EB" w14:textId="4099F16D" w:rsidR="00DF5CAC" w:rsidRPr="00370B2A" w:rsidRDefault="00DF5CAC" w:rsidP="00FC1C03">
      <w:pPr>
        <w:spacing w:after="40" w:line="480" w:lineRule="auto"/>
        <w:rPr>
          <w:rFonts w:ascii="Gill Sans MT" w:hAnsi="Gill Sans MT"/>
          <w:color w:val="auto"/>
        </w:rPr>
      </w:pPr>
    </w:p>
    <w:p w14:paraId="10D7667D" w14:textId="77777777" w:rsidR="00DF5CAC" w:rsidRPr="00370B2A" w:rsidRDefault="00DF5CAC" w:rsidP="00FC1C03">
      <w:pPr>
        <w:spacing w:after="40" w:line="480" w:lineRule="auto"/>
        <w:rPr>
          <w:rFonts w:ascii="Gill Sans MT" w:hAnsi="Gill Sans MT"/>
          <w:color w:val="auto"/>
        </w:rPr>
      </w:pPr>
    </w:p>
    <w:p w14:paraId="7B3AEC89" w14:textId="77777777" w:rsidR="00DF5CAC" w:rsidRPr="00370B2A" w:rsidRDefault="00DF5CAC" w:rsidP="00FC1C03">
      <w:pPr>
        <w:spacing w:after="40" w:line="480" w:lineRule="auto"/>
        <w:rPr>
          <w:rFonts w:ascii="Gill Sans MT" w:hAnsi="Gill Sans MT"/>
          <w:color w:val="auto"/>
        </w:rPr>
      </w:pPr>
    </w:p>
    <w:p w14:paraId="463155E5" w14:textId="77777777" w:rsidR="00DF5CAC" w:rsidRPr="00370B2A" w:rsidRDefault="00DF5CAC" w:rsidP="00FC1C03">
      <w:pPr>
        <w:spacing w:after="40" w:line="480" w:lineRule="auto"/>
        <w:rPr>
          <w:rFonts w:ascii="Gill Sans MT" w:hAnsi="Gill Sans MT"/>
          <w:color w:val="auto"/>
        </w:rPr>
      </w:pPr>
    </w:p>
    <w:p w14:paraId="70CCEC88" w14:textId="77777777" w:rsidR="00DF5CAC" w:rsidRPr="00370B2A" w:rsidRDefault="00DF5CAC" w:rsidP="00FC1C03">
      <w:pPr>
        <w:spacing w:after="40" w:line="480" w:lineRule="auto"/>
        <w:rPr>
          <w:rFonts w:ascii="Gill Sans MT" w:hAnsi="Gill Sans MT"/>
          <w:color w:val="auto"/>
        </w:rPr>
      </w:pPr>
    </w:p>
    <w:p w14:paraId="70739A81" w14:textId="77777777" w:rsidR="00DF5CAC" w:rsidRPr="00370B2A" w:rsidRDefault="00DF5CAC" w:rsidP="00FC1C03">
      <w:pPr>
        <w:spacing w:after="40" w:line="480" w:lineRule="auto"/>
        <w:rPr>
          <w:rFonts w:ascii="Gill Sans MT" w:hAnsi="Gill Sans MT"/>
          <w:color w:val="auto"/>
        </w:rPr>
      </w:pPr>
    </w:p>
    <w:p w14:paraId="1C2887E1" w14:textId="017F2A62" w:rsidR="00104F01" w:rsidRDefault="00104F01" w:rsidP="00FC1C03">
      <w:pPr>
        <w:spacing w:line="480" w:lineRule="auto"/>
        <w:rPr>
          <w:rFonts w:ascii="Gill Sans MT" w:hAnsi="Gill Sans MT"/>
          <w:color w:val="auto"/>
        </w:rPr>
      </w:pPr>
    </w:p>
    <w:p w14:paraId="4F08EC8A" w14:textId="77777777" w:rsidR="00FC1C03" w:rsidRDefault="00FC1C03" w:rsidP="00FC1C03">
      <w:pPr>
        <w:spacing w:line="480" w:lineRule="auto"/>
        <w:rPr>
          <w:rFonts w:ascii="Gill Sans MT" w:hAnsi="Gill Sans MT"/>
          <w:color w:val="auto"/>
        </w:rPr>
      </w:pPr>
    </w:p>
    <w:p w14:paraId="675B5B49" w14:textId="77777777" w:rsidR="00FC1C03" w:rsidRDefault="00FC1C03" w:rsidP="00FC1C03">
      <w:pPr>
        <w:spacing w:line="480" w:lineRule="auto"/>
        <w:rPr>
          <w:rFonts w:ascii="Gill Sans MT" w:hAnsi="Gill Sans MT"/>
          <w:color w:val="auto"/>
        </w:rPr>
      </w:pPr>
    </w:p>
    <w:p w14:paraId="7A9CBB6D" w14:textId="3FE1B37E" w:rsidR="00FC1C03" w:rsidRPr="00FC1C03" w:rsidRDefault="00FC1C03" w:rsidP="00FC1C03">
      <w:pPr>
        <w:spacing w:line="480" w:lineRule="auto"/>
        <w:rPr>
          <w:rFonts w:ascii="Gill Sans MT" w:hAnsi="Gill Sans MT"/>
          <w:b/>
          <w:bCs/>
          <w:color w:val="auto"/>
          <w:sz w:val="24"/>
          <w:szCs w:val="24"/>
        </w:rPr>
      </w:pPr>
      <w:r w:rsidRPr="00FC1C03">
        <w:rPr>
          <w:rFonts w:ascii="Gill Sans MT" w:hAnsi="Gill Sans MT"/>
          <w:b/>
          <w:bCs/>
          <w:color w:val="auto"/>
          <w:sz w:val="24"/>
          <w:szCs w:val="24"/>
        </w:rPr>
        <w:t>List of Figures</w:t>
      </w:r>
    </w:p>
    <w:p w14:paraId="1CE16AA0" w14:textId="6CC68EF7" w:rsidR="00FC1C03" w:rsidRDefault="00FC1C03" w:rsidP="00FC1C03">
      <w:pPr>
        <w:pStyle w:val="TableofFigures"/>
        <w:tabs>
          <w:tab w:val="right" w:leader="dot" w:pos="9160"/>
        </w:tabs>
        <w:spacing w:line="480" w:lineRule="auto"/>
        <w:rPr>
          <w:noProof/>
        </w:rPr>
      </w:pPr>
      <w:r>
        <w:rPr>
          <w:rFonts w:ascii="Gill Sans MT" w:hAnsi="Gill Sans MT"/>
          <w:color w:val="auto"/>
          <w:sz w:val="24"/>
          <w:szCs w:val="24"/>
        </w:rPr>
        <w:fldChar w:fldCharType="begin"/>
      </w:r>
      <w:r>
        <w:rPr>
          <w:rFonts w:ascii="Gill Sans MT" w:hAnsi="Gill Sans MT"/>
          <w:color w:val="auto"/>
          <w:sz w:val="24"/>
          <w:szCs w:val="24"/>
        </w:rPr>
        <w:instrText xml:space="preserve"> TOC \h \z \c "Figure" </w:instrText>
      </w:r>
      <w:r>
        <w:rPr>
          <w:rFonts w:ascii="Gill Sans MT" w:hAnsi="Gill Sans MT"/>
          <w:color w:val="auto"/>
          <w:sz w:val="24"/>
          <w:szCs w:val="24"/>
        </w:rPr>
        <w:fldChar w:fldCharType="separate"/>
      </w:r>
      <w:hyperlink w:anchor="_Toc226845504" w:history="1">
        <w:r w:rsidRPr="00F638B0">
          <w:rPr>
            <w:rStyle w:val="Hyperlink"/>
            <w:rFonts w:ascii="Gill Sans MT" w:hAnsi="Gill Sans MT"/>
            <w:noProof/>
          </w:rPr>
          <w:t>Figure 1 SWOT Matrix for Woolworths Group</w:t>
        </w:r>
        <w:r>
          <w:rPr>
            <w:noProof/>
            <w:webHidden/>
          </w:rPr>
          <w:tab/>
        </w:r>
        <w:r>
          <w:rPr>
            <w:noProof/>
            <w:webHidden/>
          </w:rPr>
          <w:fldChar w:fldCharType="begin"/>
        </w:r>
        <w:r>
          <w:rPr>
            <w:noProof/>
            <w:webHidden/>
          </w:rPr>
          <w:instrText xml:space="preserve"> PAGEREF _Toc226845504 \h </w:instrText>
        </w:r>
        <w:r>
          <w:rPr>
            <w:noProof/>
            <w:webHidden/>
          </w:rPr>
        </w:r>
        <w:r>
          <w:rPr>
            <w:noProof/>
            <w:webHidden/>
          </w:rPr>
          <w:fldChar w:fldCharType="separate"/>
        </w:r>
        <w:r>
          <w:rPr>
            <w:noProof/>
            <w:webHidden/>
          </w:rPr>
          <w:t>9</w:t>
        </w:r>
        <w:r>
          <w:rPr>
            <w:noProof/>
            <w:webHidden/>
          </w:rPr>
          <w:fldChar w:fldCharType="end"/>
        </w:r>
      </w:hyperlink>
    </w:p>
    <w:p w14:paraId="0EC44602" w14:textId="56337E0E" w:rsidR="00FC1C03" w:rsidRDefault="00FC1C03" w:rsidP="00FC1C03">
      <w:pPr>
        <w:pStyle w:val="TableofFigures"/>
        <w:tabs>
          <w:tab w:val="right" w:leader="dot" w:pos="9160"/>
        </w:tabs>
        <w:spacing w:line="480" w:lineRule="auto"/>
        <w:rPr>
          <w:noProof/>
        </w:rPr>
      </w:pPr>
      <w:hyperlink w:anchor="_Toc226845505" w:history="1">
        <w:r w:rsidRPr="00F638B0">
          <w:rPr>
            <w:rStyle w:val="Hyperlink"/>
            <w:rFonts w:ascii="Gill Sans MT" w:hAnsi="Gill Sans MT"/>
            <w:noProof/>
          </w:rPr>
          <w:t>Figure 2 Integrated Strategy Map for Woolworths Group</w:t>
        </w:r>
        <w:r>
          <w:rPr>
            <w:noProof/>
            <w:webHidden/>
          </w:rPr>
          <w:tab/>
        </w:r>
        <w:r>
          <w:rPr>
            <w:noProof/>
            <w:webHidden/>
          </w:rPr>
          <w:fldChar w:fldCharType="begin"/>
        </w:r>
        <w:r>
          <w:rPr>
            <w:noProof/>
            <w:webHidden/>
          </w:rPr>
          <w:instrText xml:space="preserve"> PAGEREF _Toc226845505 \h </w:instrText>
        </w:r>
        <w:r>
          <w:rPr>
            <w:noProof/>
            <w:webHidden/>
          </w:rPr>
        </w:r>
        <w:r>
          <w:rPr>
            <w:noProof/>
            <w:webHidden/>
          </w:rPr>
          <w:fldChar w:fldCharType="separate"/>
        </w:r>
        <w:r>
          <w:rPr>
            <w:noProof/>
            <w:webHidden/>
          </w:rPr>
          <w:t>10</w:t>
        </w:r>
        <w:r>
          <w:rPr>
            <w:noProof/>
            <w:webHidden/>
          </w:rPr>
          <w:fldChar w:fldCharType="end"/>
        </w:r>
      </w:hyperlink>
    </w:p>
    <w:p w14:paraId="01EC5129" w14:textId="1ABE71F4" w:rsidR="00FC1C03" w:rsidRDefault="00FC1C03" w:rsidP="00FC1C03">
      <w:pPr>
        <w:spacing w:line="480" w:lineRule="auto"/>
        <w:rPr>
          <w:rFonts w:ascii="Gill Sans MT" w:hAnsi="Gill Sans MT"/>
          <w:color w:val="auto"/>
          <w:sz w:val="24"/>
          <w:szCs w:val="24"/>
        </w:rPr>
      </w:pPr>
      <w:r>
        <w:rPr>
          <w:rFonts w:ascii="Gill Sans MT" w:hAnsi="Gill Sans MT"/>
          <w:color w:val="auto"/>
          <w:sz w:val="24"/>
          <w:szCs w:val="24"/>
        </w:rPr>
        <w:fldChar w:fldCharType="end"/>
      </w:r>
    </w:p>
    <w:p w14:paraId="5D76BCD4" w14:textId="77777777" w:rsidR="00FC1C03" w:rsidRDefault="00FC1C03" w:rsidP="00FC1C03">
      <w:pPr>
        <w:spacing w:line="480" w:lineRule="auto"/>
        <w:rPr>
          <w:rFonts w:ascii="Gill Sans MT" w:hAnsi="Gill Sans MT"/>
          <w:color w:val="auto"/>
          <w:sz w:val="24"/>
          <w:szCs w:val="24"/>
        </w:rPr>
      </w:pPr>
    </w:p>
    <w:p w14:paraId="68610ACA" w14:textId="77777777" w:rsidR="00FC1C03" w:rsidRDefault="00FC1C03" w:rsidP="00FC1C03">
      <w:pPr>
        <w:spacing w:line="480" w:lineRule="auto"/>
        <w:rPr>
          <w:rFonts w:ascii="Gill Sans MT" w:hAnsi="Gill Sans MT"/>
          <w:color w:val="auto"/>
          <w:sz w:val="24"/>
          <w:szCs w:val="24"/>
        </w:rPr>
      </w:pPr>
    </w:p>
    <w:p w14:paraId="10B8858B" w14:textId="77777777" w:rsidR="00FC1C03" w:rsidRDefault="00FC1C03" w:rsidP="00FC1C03">
      <w:pPr>
        <w:spacing w:line="480" w:lineRule="auto"/>
        <w:rPr>
          <w:rFonts w:ascii="Gill Sans MT" w:hAnsi="Gill Sans MT"/>
          <w:color w:val="auto"/>
          <w:sz w:val="24"/>
          <w:szCs w:val="24"/>
        </w:rPr>
      </w:pPr>
    </w:p>
    <w:p w14:paraId="19A1C97F" w14:textId="77777777" w:rsidR="00FC1C03" w:rsidRDefault="00FC1C03" w:rsidP="00FC1C03">
      <w:pPr>
        <w:spacing w:line="480" w:lineRule="auto"/>
        <w:rPr>
          <w:rFonts w:ascii="Gill Sans MT" w:hAnsi="Gill Sans MT"/>
          <w:color w:val="auto"/>
          <w:sz w:val="24"/>
          <w:szCs w:val="24"/>
        </w:rPr>
      </w:pPr>
    </w:p>
    <w:p w14:paraId="14893E5A" w14:textId="77777777" w:rsidR="00FC1C03" w:rsidRDefault="00FC1C03" w:rsidP="00FC1C03">
      <w:pPr>
        <w:spacing w:line="480" w:lineRule="auto"/>
        <w:rPr>
          <w:rFonts w:ascii="Gill Sans MT" w:hAnsi="Gill Sans MT"/>
          <w:color w:val="auto"/>
          <w:sz w:val="24"/>
          <w:szCs w:val="24"/>
        </w:rPr>
      </w:pPr>
    </w:p>
    <w:p w14:paraId="1789D9AD" w14:textId="77777777" w:rsidR="00FC1C03" w:rsidRDefault="00FC1C03" w:rsidP="00FC1C03">
      <w:pPr>
        <w:spacing w:line="480" w:lineRule="auto"/>
        <w:rPr>
          <w:rFonts w:ascii="Gill Sans MT" w:hAnsi="Gill Sans MT"/>
          <w:color w:val="auto"/>
          <w:sz w:val="24"/>
          <w:szCs w:val="24"/>
        </w:rPr>
      </w:pPr>
    </w:p>
    <w:p w14:paraId="5C9DE352" w14:textId="77777777" w:rsidR="00FC1C03" w:rsidRDefault="00FC1C03" w:rsidP="00FC1C03">
      <w:pPr>
        <w:spacing w:line="480" w:lineRule="auto"/>
        <w:rPr>
          <w:rFonts w:ascii="Gill Sans MT" w:hAnsi="Gill Sans MT"/>
          <w:color w:val="auto"/>
          <w:sz w:val="24"/>
          <w:szCs w:val="24"/>
        </w:rPr>
      </w:pPr>
    </w:p>
    <w:p w14:paraId="0FA7DE7E" w14:textId="77777777" w:rsidR="00FC1C03" w:rsidRDefault="00FC1C03" w:rsidP="00FC1C03">
      <w:pPr>
        <w:spacing w:line="480" w:lineRule="auto"/>
        <w:rPr>
          <w:rFonts w:ascii="Gill Sans MT" w:hAnsi="Gill Sans MT"/>
          <w:color w:val="auto"/>
          <w:sz w:val="24"/>
          <w:szCs w:val="24"/>
        </w:rPr>
      </w:pPr>
    </w:p>
    <w:p w14:paraId="4A2CB7BA" w14:textId="77777777" w:rsidR="00FC1C03" w:rsidRDefault="00FC1C03" w:rsidP="00FC1C03">
      <w:pPr>
        <w:spacing w:line="480" w:lineRule="auto"/>
        <w:rPr>
          <w:rFonts w:ascii="Gill Sans MT" w:hAnsi="Gill Sans MT"/>
          <w:color w:val="auto"/>
          <w:sz w:val="24"/>
          <w:szCs w:val="24"/>
        </w:rPr>
      </w:pPr>
    </w:p>
    <w:p w14:paraId="6AC21F5E" w14:textId="77777777" w:rsidR="00FC1C03" w:rsidRPr="00FC1C03" w:rsidRDefault="00FC1C03" w:rsidP="00FC1C03">
      <w:pPr>
        <w:spacing w:line="480" w:lineRule="auto"/>
        <w:rPr>
          <w:rFonts w:ascii="Gill Sans MT" w:hAnsi="Gill Sans MT"/>
          <w:color w:val="auto"/>
          <w:sz w:val="24"/>
          <w:szCs w:val="24"/>
        </w:rPr>
      </w:pPr>
    </w:p>
    <w:p w14:paraId="59F17D08" w14:textId="3606E41A" w:rsidR="00104F01" w:rsidRPr="00FC1C03" w:rsidRDefault="00DF5CAC" w:rsidP="00FC1C03">
      <w:pPr>
        <w:pStyle w:val="Heading1"/>
        <w:spacing w:line="480" w:lineRule="auto"/>
      </w:pPr>
      <w:bookmarkStart w:id="1" w:name="_Toc226844782"/>
      <w:r w:rsidRPr="00FC1C03">
        <w:lastRenderedPageBreak/>
        <w:t>1. Introduction</w:t>
      </w:r>
      <w:bookmarkEnd w:id="1"/>
    </w:p>
    <w:p w14:paraId="0B0340B2" w14:textId="77777777" w:rsidR="00CA0413" w:rsidRPr="00FC1C03" w:rsidRDefault="00CA0413"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The strategic importance of Woolworths Group is that it is situated at the core of household consumption in Australia, in terms of food supply chains and retail competition in the country. Its fundamental supermarket business is still the economic heart of the group, but the company now finds itself competing in a much more challenging environment than the one which supported its historical dominance. The consumer </w:t>
      </w:r>
      <w:proofErr w:type="spellStart"/>
      <w:r w:rsidRPr="00FC1C03">
        <w:rPr>
          <w:rFonts w:ascii="Gill Sans MT" w:hAnsi="Gill Sans MT"/>
          <w:color w:val="auto"/>
          <w:sz w:val="24"/>
          <w:szCs w:val="24"/>
        </w:rPr>
        <w:t>behaviour</w:t>
      </w:r>
      <w:proofErr w:type="spellEnd"/>
      <w:r w:rsidRPr="00FC1C03">
        <w:rPr>
          <w:rFonts w:ascii="Gill Sans MT" w:hAnsi="Gill Sans MT"/>
          <w:color w:val="auto"/>
          <w:sz w:val="24"/>
          <w:szCs w:val="24"/>
        </w:rPr>
        <w:t xml:space="preserve"> remains under the pressure of the cost of living, the regulatory environment in the food sector has become stricter, and people expect convenience, the availability of price information and the speed of its delivery when shopping online (Australian Bureau of Statistics [ABS], 2026; Australian Competition and Consumer Commission [ACCC], 2025; Woolworths Group, 2026a). Meanwhile, Woolworths has realized the necessity to reestablish trust, streamline the business and regain better performance in its Australian Food business (Woolworths Group, 2025a, 2025b).</w:t>
      </w:r>
    </w:p>
    <w:p w14:paraId="2B0CBFFC" w14:textId="5DC47E8A" w:rsidR="00853EE8" w:rsidRPr="00FC1C03" w:rsidRDefault="00370B2A"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This report develops a strategy formulation plan for Woolworths Group that connects analysis to action. </w:t>
      </w:r>
      <w:r w:rsidR="00CA0413" w:rsidRPr="00FC1C03">
        <w:rPr>
          <w:rFonts w:ascii="Gill Sans MT" w:hAnsi="Gill Sans MT"/>
          <w:color w:val="auto"/>
          <w:sz w:val="24"/>
          <w:szCs w:val="24"/>
        </w:rPr>
        <w:t xml:space="preserve">The report consequently looks at the business model that the company has, deciphers its purpose, mission architecture and strategic goals, assesses the internal and external environments using SWOT, and then translates the results into functional, business level and corporate level strategy options. The latter sections are an elaboration of how the strategy ought to be put into action, followed up and revised. The general objective is to demonstrate how Woolworths can better leverage its current resources so as to provide a higher level of customer value, enhance its competitive edge and better </w:t>
      </w:r>
      <w:proofErr w:type="spellStart"/>
      <w:r w:rsidR="00CA0413" w:rsidRPr="00FC1C03">
        <w:rPr>
          <w:rFonts w:ascii="Gill Sans MT" w:hAnsi="Gill Sans MT"/>
          <w:color w:val="auto"/>
          <w:sz w:val="24"/>
          <w:szCs w:val="24"/>
        </w:rPr>
        <w:t>organisational</w:t>
      </w:r>
      <w:proofErr w:type="spellEnd"/>
      <w:r w:rsidR="00CA0413" w:rsidRPr="00FC1C03">
        <w:rPr>
          <w:rFonts w:ascii="Gill Sans MT" w:hAnsi="Gill Sans MT"/>
          <w:color w:val="auto"/>
          <w:sz w:val="24"/>
          <w:szCs w:val="24"/>
        </w:rPr>
        <w:t xml:space="preserve"> performance in the medium run.</w:t>
      </w:r>
    </w:p>
    <w:p w14:paraId="23DF2DCF" w14:textId="77777777" w:rsidR="00FC1C03" w:rsidRPr="00FC1C03" w:rsidRDefault="00FC1C03" w:rsidP="00FC1C03">
      <w:pPr>
        <w:keepLines/>
        <w:spacing w:line="480" w:lineRule="auto"/>
        <w:jc w:val="both"/>
        <w:rPr>
          <w:rFonts w:ascii="Gill Sans MT" w:hAnsi="Gill Sans MT"/>
          <w:color w:val="auto"/>
          <w:sz w:val="24"/>
          <w:szCs w:val="24"/>
        </w:rPr>
      </w:pPr>
    </w:p>
    <w:p w14:paraId="6BB50520" w14:textId="0716ADCB" w:rsidR="00104F01" w:rsidRPr="00FC1C03" w:rsidRDefault="00DF5CAC" w:rsidP="00FC1C03">
      <w:pPr>
        <w:pStyle w:val="Heading1"/>
        <w:spacing w:line="480" w:lineRule="auto"/>
      </w:pPr>
      <w:bookmarkStart w:id="2" w:name="_Toc226844783"/>
      <w:r w:rsidRPr="00FC1C03">
        <w:lastRenderedPageBreak/>
        <w:t>2. Strategy Formulation Plan</w:t>
      </w:r>
      <w:bookmarkEnd w:id="2"/>
    </w:p>
    <w:p w14:paraId="1A92812E" w14:textId="441C7AA5" w:rsidR="00104F01" w:rsidRPr="00FC1C03" w:rsidRDefault="00DF5CAC" w:rsidP="00FC1C03">
      <w:pPr>
        <w:pStyle w:val="Heading2"/>
        <w:spacing w:line="480" w:lineRule="auto"/>
        <w:rPr>
          <w:szCs w:val="24"/>
        </w:rPr>
      </w:pPr>
      <w:bookmarkStart w:id="3" w:name="_Toc226844784"/>
      <w:r w:rsidRPr="00FC1C03">
        <w:rPr>
          <w:szCs w:val="24"/>
        </w:rPr>
        <w:t>2.1 Existing Business Model</w:t>
      </w:r>
      <w:bookmarkEnd w:id="3"/>
    </w:p>
    <w:p w14:paraId="126CD1F1" w14:textId="77777777" w:rsidR="00857B2C" w:rsidRPr="00FC1C03" w:rsidRDefault="00857B2C"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The current business model of the Woolworths can be considered as an integrated business model of retail-and-services platform as opposed to an independent chain of supermarkets. The group will deliver value with a high-frequency food offer, anchored on fresh produce, everyday grocery, convenience and trusted value, and fulfilment assets. The offer is delivered via store, digital, fulfilment assets, loyalty infrastructure and adjacent services. Formal announcements focus on iconic retail brands, distribution and fulfilment services, a loyalty and rewards </w:t>
      </w:r>
      <w:proofErr w:type="spellStart"/>
      <w:r w:rsidRPr="00FC1C03">
        <w:rPr>
          <w:rFonts w:ascii="Gill Sans MT" w:hAnsi="Gill Sans MT"/>
          <w:color w:val="auto"/>
          <w:sz w:val="24"/>
          <w:szCs w:val="24"/>
        </w:rPr>
        <w:t>programme</w:t>
      </w:r>
      <w:proofErr w:type="spellEnd"/>
      <w:r w:rsidRPr="00FC1C03">
        <w:rPr>
          <w:rFonts w:ascii="Gill Sans MT" w:hAnsi="Gill Sans MT"/>
          <w:color w:val="auto"/>
          <w:sz w:val="24"/>
          <w:szCs w:val="24"/>
        </w:rPr>
        <w:t xml:space="preserve">, retail media and data, technology and AI as key components of the business model and not support functions (Woolworths Group, 2025a). Scales, network density and data-rich customer relationships, physical and digital channels, and retail margins, higher-margin services and ecosystem </w:t>
      </w:r>
      <w:proofErr w:type="spellStart"/>
      <w:r w:rsidRPr="00FC1C03">
        <w:rPr>
          <w:rFonts w:ascii="Gill Sans MT" w:hAnsi="Gill Sans MT"/>
          <w:color w:val="auto"/>
          <w:sz w:val="24"/>
          <w:szCs w:val="24"/>
        </w:rPr>
        <w:t>monetisation</w:t>
      </w:r>
      <w:proofErr w:type="spellEnd"/>
      <w:r w:rsidRPr="00FC1C03">
        <w:rPr>
          <w:rFonts w:ascii="Gill Sans MT" w:hAnsi="Gill Sans MT"/>
          <w:color w:val="auto"/>
          <w:sz w:val="24"/>
          <w:szCs w:val="24"/>
        </w:rPr>
        <w:t xml:space="preserve"> are some of the ways of creating value in business-model terms (Foss and </w:t>
      </w:r>
      <w:proofErr w:type="spellStart"/>
      <w:r w:rsidRPr="00FC1C03">
        <w:rPr>
          <w:rFonts w:ascii="Gill Sans MT" w:hAnsi="Gill Sans MT"/>
          <w:color w:val="auto"/>
          <w:sz w:val="24"/>
          <w:szCs w:val="24"/>
        </w:rPr>
        <w:t>Saebi</w:t>
      </w:r>
      <w:proofErr w:type="spellEnd"/>
      <w:r w:rsidRPr="00FC1C03">
        <w:rPr>
          <w:rFonts w:ascii="Gill Sans MT" w:hAnsi="Gill Sans MT"/>
          <w:color w:val="auto"/>
          <w:sz w:val="24"/>
          <w:szCs w:val="24"/>
        </w:rPr>
        <w:t>, 2017; Teece, 2018).</w:t>
      </w:r>
    </w:p>
    <w:p w14:paraId="11137566" w14:textId="2B9326B5" w:rsidR="00CA0413" w:rsidRPr="00FC1C03" w:rsidRDefault="00857B2C"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The architecture physically influences strategic choices that may arise in the future. First, it provides Woolworths with a defensible platform of an integrated value proposition that </w:t>
      </w:r>
      <w:proofErr w:type="spellStart"/>
      <w:r w:rsidRPr="00FC1C03">
        <w:rPr>
          <w:rFonts w:ascii="Gill Sans MT" w:hAnsi="Gill Sans MT"/>
          <w:color w:val="auto"/>
          <w:sz w:val="24"/>
          <w:szCs w:val="24"/>
        </w:rPr>
        <w:t>can not</w:t>
      </w:r>
      <w:proofErr w:type="spellEnd"/>
      <w:r w:rsidRPr="00FC1C03">
        <w:rPr>
          <w:rFonts w:ascii="Gill Sans MT" w:hAnsi="Gill Sans MT"/>
          <w:color w:val="auto"/>
          <w:sz w:val="24"/>
          <w:szCs w:val="24"/>
        </w:rPr>
        <w:t xml:space="preserve"> be easily duplicated at the same level by competitors. </w:t>
      </w:r>
      <w:r w:rsidR="00165994" w:rsidRPr="00FC1C03">
        <w:rPr>
          <w:rFonts w:ascii="Gill Sans MT" w:hAnsi="Gill Sans MT"/>
          <w:color w:val="auto"/>
          <w:sz w:val="24"/>
          <w:szCs w:val="24"/>
        </w:rPr>
        <w:t xml:space="preserve">Second, it makes execution quality crucial: when availability, pricing clarity or service consistency fail, the model’s interdependence turns strengths into amplifiers of reputational damage. </w:t>
      </w:r>
      <w:r w:rsidRPr="00FC1C03">
        <w:rPr>
          <w:rFonts w:ascii="Gill Sans MT" w:hAnsi="Gill Sans MT"/>
          <w:color w:val="auto"/>
          <w:sz w:val="24"/>
          <w:szCs w:val="24"/>
        </w:rPr>
        <w:t>Third, the model suggests that the most plausible future growth will involve expanding the food core or capitalize on common data, logistics and customer access, but not when it diffuses the management attention on unrelated projects.</w:t>
      </w:r>
    </w:p>
    <w:p w14:paraId="33D924B4" w14:textId="0FD4F511" w:rsidR="00104F01" w:rsidRPr="00FC1C03" w:rsidRDefault="00DF5CAC" w:rsidP="00FC1C03">
      <w:pPr>
        <w:pStyle w:val="Heading2"/>
        <w:spacing w:line="480" w:lineRule="auto"/>
        <w:rPr>
          <w:szCs w:val="24"/>
        </w:rPr>
      </w:pPr>
      <w:bookmarkStart w:id="4" w:name="_Toc226844785"/>
      <w:r w:rsidRPr="00FC1C03">
        <w:rPr>
          <w:szCs w:val="24"/>
        </w:rPr>
        <w:lastRenderedPageBreak/>
        <w:t>2.2 Corporate Mission, Vision, and Goals</w:t>
      </w:r>
      <w:bookmarkEnd w:id="4"/>
    </w:p>
    <w:p w14:paraId="3FEBA4AC" w14:textId="5BEE19D2" w:rsidR="0076750D" w:rsidRPr="00FC1C03" w:rsidRDefault="0076750D"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Woolworths claims to be here on a mission to provide the best in convenience, value and quality to our customers and describes its meaning as creating better experiences together to have a better tomorrow (Woolworths Group, n.d.-a). Yet, its strategic priorities in the medium-term fulfill that role in practice: to be the first choice to the freshest Australian food, enhance returns in New Zealand Food and BIG W and develop complementary businesses and services (Woolworths Group, 2025a, 2025b). Its 2025 AGM reports also place sustainable growth in Woolworths Retail, complemented by greater growth in related businesses, as the path to mid-to-high single-digit EBIT growth and a target of doubling shareholder-return as the route to a doubling of its shareholder-return goals (Woolworths Group, 2025b).</w:t>
      </w:r>
    </w:p>
    <w:p w14:paraId="22B9BECC" w14:textId="43472B9D" w:rsidR="00FC1C03" w:rsidRPr="00FC1C03" w:rsidRDefault="0076750D"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These declarations are consistent with the business model since they focus on customer value, food leadership, leverage and disciplined returns ecosystem and not on an abstract aspiration. The implication of this is that they should be strategically formulated starting with the food core and not diversification as an end in itself. They also suggest that strategic fit is important: the purpose defines the breadth of stakeholders, the mission defines the value facing the customers, and the goals define the operating hierarchy in terms of which the allocation of resources should be evaluated (Grant, 2022).</w:t>
      </w:r>
      <w:bookmarkStart w:id="5" w:name="_Toc226844786"/>
    </w:p>
    <w:p w14:paraId="14D0A3FD" w14:textId="176F4514" w:rsidR="00104F01" w:rsidRPr="00FC1C03" w:rsidRDefault="00DF5CAC" w:rsidP="00FC1C03">
      <w:pPr>
        <w:pStyle w:val="Heading2"/>
        <w:spacing w:line="480" w:lineRule="auto"/>
        <w:rPr>
          <w:szCs w:val="24"/>
        </w:rPr>
      </w:pPr>
      <w:r w:rsidRPr="00FC1C03">
        <w:rPr>
          <w:szCs w:val="24"/>
        </w:rPr>
        <w:t>2.3 SWOT Analysis</w:t>
      </w:r>
      <w:bookmarkEnd w:id="5"/>
    </w:p>
    <w:p w14:paraId="6F2D43C8" w14:textId="7FD902A3" w:rsidR="005B66DE" w:rsidRPr="00FC1C03" w:rsidRDefault="005B66DE" w:rsidP="000311B0">
      <w:pPr>
        <w:spacing w:line="480" w:lineRule="auto"/>
        <w:jc w:val="both"/>
        <w:rPr>
          <w:rFonts w:ascii="Gill Sans MT" w:hAnsi="Gill Sans MT"/>
          <w:sz w:val="24"/>
          <w:szCs w:val="24"/>
        </w:rPr>
      </w:pPr>
      <w:r w:rsidRPr="00FC1C03">
        <w:rPr>
          <w:rFonts w:ascii="Gill Sans MT" w:hAnsi="Gill Sans MT"/>
          <w:sz w:val="24"/>
          <w:szCs w:val="24"/>
        </w:rPr>
        <w:t xml:space="preserve">The resources which Woolworths has as its strengths are specific to its retail business in supermarket: scale, extensive network of stores and fulfilment, good brand recognition in fresh-foods, high number of loyal customers, and data and artificial intelligence, which are useful in planning, </w:t>
      </w:r>
      <w:proofErr w:type="spellStart"/>
      <w:r w:rsidRPr="00FC1C03">
        <w:rPr>
          <w:rFonts w:ascii="Gill Sans MT" w:hAnsi="Gill Sans MT"/>
          <w:sz w:val="24"/>
          <w:szCs w:val="24"/>
        </w:rPr>
        <w:t>personalisation</w:t>
      </w:r>
      <w:proofErr w:type="spellEnd"/>
      <w:r w:rsidRPr="00FC1C03">
        <w:rPr>
          <w:rFonts w:ascii="Gill Sans MT" w:hAnsi="Gill Sans MT"/>
          <w:sz w:val="24"/>
          <w:szCs w:val="24"/>
        </w:rPr>
        <w:t xml:space="preserve"> and </w:t>
      </w:r>
      <w:proofErr w:type="spellStart"/>
      <w:r w:rsidRPr="00FC1C03">
        <w:rPr>
          <w:rFonts w:ascii="Gill Sans MT" w:hAnsi="Gill Sans MT"/>
          <w:sz w:val="24"/>
          <w:szCs w:val="24"/>
        </w:rPr>
        <w:t>monetisation</w:t>
      </w:r>
      <w:proofErr w:type="spellEnd"/>
      <w:r w:rsidRPr="00FC1C03">
        <w:rPr>
          <w:rFonts w:ascii="Gill Sans MT" w:hAnsi="Gill Sans MT"/>
          <w:sz w:val="24"/>
          <w:szCs w:val="24"/>
        </w:rPr>
        <w:t xml:space="preserve"> (Barney, 1991; Woolworths Group, 2025a). The presence of such strengths explains why Woolworths will be able to balance price investment and service reach more than smaller competitors. Economics of own-brand </w:t>
      </w:r>
      <w:r w:rsidRPr="00FC1C03">
        <w:rPr>
          <w:rFonts w:ascii="Gill Sans MT" w:hAnsi="Gill Sans MT"/>
          <w:sz w:val="24"/>
          <w:szCs w:val="24"/>
        </w:rPr>
        <w:lastRenderedPageBreak/>
        <w:t>also play in the favor of the company; official disclosure reveals that own-brand products offered by the company saved approximately 30% as compared to branded equivalents in FY2025, which enhances customer value and margin architecture (Woolworths Group, 2025a).</w:t>
      </w:r>
    </w:p>
    <w:p w14:paraId="58A66A4A" w14:textId="33900D24" w:rsidR="00CA0413" w:rsidRPr="00FC1C03" w:rsidRDefault="005B66DE" w:rsidP="000311B0">
      <w:pPr>
        <w:spacing w:line="480" w:lineRule="auto"/>
        <w:jc w:val="both"/>
        <w:rPr>
          <w:rFonts w:ascii="Gill Sans MT" w:hAnsi="Gill Sans MT"/>
          <w:sz w:val="24"/>
          <w:szCs w:val="24"/>
        </w:rPr>
      </w:pPr>
      <w:r w:rsidRPr="00FC1C03">
        <w:rPr>
          <w:rFonts w:ascii="Gill Sans MT" w:hAnsi="Gill Sans MT"/>
          <w:sz w:val="24"/>
          <w:szCs w:val="24"/>
        </w:rPr>
        <w:t xml:space="preserve">The lack of resources is not the weaknesses but performance frictions. Woolworths itself has </w:t>
      </w:r>
      <w:proofErr w:type="spellStart"/>
      <w:r w:rsidRPr="00FC1C03">
        <w:rPr>
          <w:rFonts w:ascii="Gill Sans MT" w:hAnsi="Gill Sans MT"/>
          <w:sz w:val="24"/>
          <w:szCs w:val="24"/>
        </w:rPr>
        <w:t>recognised</w:t>
      </w:r>
      <w:proofErr w:type="spellEnd"/>
      <w:r w:rsidRPr="00FC1C03">
        <w:rPr>
          <w:rFonts w:ascii="Gill Sans MT" w:hAnsi="Gill Sans MT"/>
          <w:sz w:val="24"/>
          <w:szCs w:val="24"/>
        </w:rPr>
        <w:t xml:space="preserve"> the necessity to restore customer confidence, streamline the business and be an even lower cost retailer with a differentiated food offer at its core (Woolworths Group, 2025a, 2026a). The 2025a research shows that the scale is no longer the sole surety of legitimacy due to the amount of public scrutiny of grocery pricing and a drop in trust of the grocery-sector since 2021 (Woolworths Group, 2025a). Execution is further inhibited by costs complexity, uneven returns in certain businesses, price sensitivity of margins as a result of price investment and even margin sensitivity.</w:t>
      </w:r>
      <w:r w:rsidR="00853EE8" w:rsidRPr="00FC1C03">
        <w:rPr>
          <w:rFonts w:ascii="Gill Sans MT" w:hAnsi="Gill Sans MT"/>
          <w:sz w:val="24"/>
          <w:szCs w:val="24"/>
        </w:rPr>
        <w:t xml:space="preserve"> </w:t>
      </w:r>
      <w:r w:rsidRPr="00FC1C03">
        <w:rPr>
          <w:rFonts w:ascii="Gill Sans MT" w:hAnsi="Gill Sans MT"/>
          <w:sz w:val="24"/>
          <w:szCs w:val="24"/>
        </w:rPr>
        <w:t xml:space="preserve">The opportunities are based on the conditions that leverage the best capabilities of Woolworths: the unchanging consumer concern with value, the growth of e-commerce and convenience, the increase in the retail-media economy, the growth of demand on traceability and sustainability of the food systems (ABS, 2026; Woolworths Group, 2026a). The threats are also quite material: the competition is still high, regulation in the food sector has increased, Food and Grocery Code has become compulsory, and the inflation, </w:t>
      </w:r>
      <w:proofErr w:type="spellStart"/>
      <w:r w:rsidRPr="00FC1C03">
        <w:rPr>
          <w:rFonts w:ascii="Gill Sans MT" w:hAnsi="Gill Sans MT"/>
          <w:sz w:val="24"/>
          <w:szCs w:val="24"/>
        </w:rPr>
        <w:t>labour</w:t>
      </w:r>
      <w:proofErr w:type="spellEnd"/>
      <w:r w:rsidRPr="00FC1C03">
        <w:rPr>
          <w:rFonts w:ascii="Gill Sans MT" w:hAnsi="Gill Sans MT"/>
          <w:sz w:val="24"/>
          <w:szCs w:val="24"/>
        </w:rPr>
        <w:t xml:space="preserve"> pressure, cyber risk and supply fluctuations still challenge large retail systems (ACCC, 2025;</w:t>
      </w:r>
      <w:r w:rsidR="00853EE8" w:rsidRPr="00FC1C03">
        <w:rPr>
          <w:rFonts w:ascii="Gill Sans MT" w:hAnsi="Gill Sans MT"/>
          <w:sz w:val="24"/>
          <w:szCs w:val="24"/>
        </w:rPr>
        <w:t xml:space="preserve"> </w:t>
      </w:r>
      <w:r w:rsidRPr="00FC1C03">
        <w:rPr>
          <w:rFonts w:ascii="Gill Sans MT" w:hAnsi="Gill Sans MT"/>
          <w:sz w:val="24"/>
          <w:szCs w:val="24"/>
        </w:rPr>
        <w:t>Woolworths Group, 2025a).</w:t>
      </w:r>
    </w:p>
    <w:p w14:paraId="1774EF9C" w14:textId="77777777" w:rsidR="00853EE8" w:rsidRPr="00FC1C03" w:rsidRDefault="00DF5CAC" w:rsidP="00FC1C03">
      <w:pPr>
        <w:keepNext/>
        <w:spacing w:line="480" w:lineRule="auto"/>
        <w:jc w:val="both"/>
        <w:rPr>
          <w:rFonts w:ascii="Gill Sans MT" w:hAnsi="Gill Sans MT"/>
          <w:sz w:val="24"/>
          <w:szCs w:val="24"/>
        </w:rPr>
      </w:pPr>
      <w:r w:rsidRPr="00FC1C03">
        <w:rPr>
          <w:rFonts w:ascii="Gill Sans MT" w:hAnsi="Gill Sans MT"/>
          <w:noProof/>
          <w:sz w:val="24"/>
          <w:szCs w:val="24"/>
        </w:rPr>
        <w:lastRenderedPageBreak/>
        <w:drawing>
          <wp:inline distT="0" distB="0" distL="0" distR="0" wp14:anchorId="40641B97" wp14:editId="6BA7EC25">
            <wp:extent cx="6035040" cy="4525010"/>
            <wp:effectExtent l="0" t="0" r="3810" b="8890"/>
            <wp:docPr id="162668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5040" cy="4525010"/>
                    </a:xfrm>
                    <a:prstGeom prst="rect">
                      <a:avLst/>
                    </a:prstGeom>
                    <a:noFill/>
                    <a:ln>
                      <a:noFill/>
                    </a:ln>
                  </pic:spPr>
                </pic:pic>
              </a:graphicData>
            </a:graphic>
          </wp:inline>
        </w:drawing>
      </w:r>
    </w:p>
    <w:p w14:paraId="37439FCD" w14:textId="61052559" w:rsidR="00104F01" w:rsidRPr="00FC1C03" w:rsidRDefault="00853EE8" w:rsidP="00FC1C03">
      <w:pPr>
        <w:pStyle w:val="Caption"/>
        <w:spacing w:line="480" w:lineRule="auto"/>
        <w:jc w:val="both"/>
        <w:rPr>
          <w:rFonts w:ascii="Gill Sans MT" w:hAnsi="Gill Sans MT"/>
          <w:color w:val="auto"/>
          <w:sz w:val="24"/>
          <w:szCs w:val="24"/>
        </w:rPr>
      </w:pPr>
      <w:bookmarkStart w:id="6" w:name="_Toc226845504"/>
      <w:r w:rsidRPr="00FC1C03">
        <w:rPr>
          <w:rFonts w:ascii="Gill Sans MT" w:hAnsi="Gill Sans MT"/>
          <w:sz w:val="24"/>
          <w:szCs w:val="24"/>
        </w:rPr>
        <w:t xml:space="preserve">Figure </w:t>
      </w:r>
      <w:r w:rsidRPr="00FC1C03">
        <w:rPr>
          <w:rFonts w:ascii="Gill Sans MT" w:hAnsi="Gill Sans MT"/>
          <w:sz w:val="24"/>
          <w:szCs w:val="24"/>
        </w:rPr>
        <w:fldChar w:fldCharType="begin"/>
      </w:r>
      <w:r w:rsidRPr="00FC1C03">
        <w:rPr>
          <w:rFonts w:ascii="Gill Sans MT" w:hAnsi="Gill Sans MT"/>
          <w:sz w:val="24"/>
          <w:szCs w:val="24"/>
        </w:rPr>
        <w:instrText xml:space="preserve"> SEQ Figure \* ARABIC </w:instrText>
      </w:r>
      <w:r w:rsidRPr="00FC1C03">
        <w:rPr>
          <w:rFonts w:ascii="Gill Sans MT" w:hAnsi="Gill Sans MT"/>
          <w:sz w:val="24"/>
          <w:szCs w:val="24"/>
        </w:rPr>
        <w:fldChar w:fldCharType="separate"/>
      </w:r>
      <w:r w:rsidRPr="00FC1C03">
        <w:rPr>
          <w:rFonts w:ascii="Gill Sans MT" w:hAnsi="Gill Sans MT"/>
          <w:noProof/>
          <w:sz w:val="24"/>
          <w:szCs w:val="24"/>
        </w:rPr>
        <w:t>1</w:t>
      </w:r>
      <w:r w:rsidRPr="00FC1C03">
        <w:rPr>
          <w:rFonts w:ascii="Gill Sans MT" w:hAnsi="Gill Sans MT"/>
          <w:sz w:val="24"/>
          <w:szCs w:val="24"/>
        </w:rPr>
        <w:fldChar w:fldCharType="end"/>
      </w:r>
      <w:r w:rsidRPr="00FC1C03">
        <w:rPr>
          <w:rFonts w:ascii="Gill Sans MT" w:hAnsi="Gill Sans MT"/>
          <w:sz w:val="24"/>
          <w:szCs w:val="24"/>
        </w:rPr>
        <w:t xml:space="preserve"> SWOT Matrix for Woolworths Group</w:t>
      </w:r>
      <w:bookmarkEnd w:id="6"/>
    </w:p>
    <w:p w14:paraId="38563DA3" w14:textId="36096CA7" w:rsidR="00104F01" w:rsidRPr="00FC1C03" w:rsidRDefault="00DF5CAC" w:rsidP="00FC1C03">
      <w:pPr>
        <w:pStyle w:val="Heading2"/>
        <w:spacing w:line="480" w:lineRule="auto"/>
        <w:rPr>
          <w:szCs w:val="24"/>
        </w:rPr>
      </w:pPr>
      <w:bookmarkStart w:id="7" w:name="_Toc226844787"/>
      <w:r w:rsidRPr="00FC1C03">
        <w:rPr>
          <w:szCs w:val="24"/>
        </w:rPr>
        <w:t>2.4 Strategic Implications from SWOT</w:t>
      </w:r>
      <w:bookmarkEnd w:id="7"/>
    </w:p>
    <w:p w14:paraId="05D23031" w14:textId="77777777" w:rsidR="00826BFA" w:rsidRPr="00FC1C03" w:rsidRDefault="00826BFA"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The SWOT analysis identifies four priorities: deepen food-core emphasis; value leadership more of a disciplined architecture than blanket discounting; make omnichannel convenience more productive; and streamline the portfolio and grow only complementary businesses that make the food ecosystem stronger or achieve attractive returns on shared capabilities.</w:t>
      </w:r>
    </w:p>
    <w:p w14:paraId="54AC9BE8" w14:textId="6B8F6C37" w:rsidR="00826BFA" w:rsidRPr="00FC1C03" w:rsidRDefault="00826BFA"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This bridges analysis to choice: network reach, loyalty and data must be correlated with convenience and </w:t>
      </w:r>
      <w:proofErr w:type="spellStart"/>
      <w:r w:rsidRPr="00FC1C03">
        <w:rPr>
          <w:rFonts w:ascii="Gill Sans MT" w:hAnsi="Gill Sans MT"/>
          <w:color w:val="auto"/>
          <w:sz w:val="24"/>
          <w:szCs w:val="24"/>
        </w:rPr>
        <w:t>personalisation</w:t>
      </w:r>
      <w:proofErr w:type="spellEnd"/>
      <w:r w:rsidRPr="00FC1C03">
        <w:rPr>
          <w:rFonts w:ascii="Gill Sans MT" w:hAnsi="Gill Sans MT"/>
          <w:color w:val="auto"/>
          <w:sz w:val="24"/>
          <w:szCs w:val="24"/>
        </w:rPr>
        <w:t xml:space="preserve"> opportunities, whereas trust and complexity of costs must be executed in a more uncomplicated and transparent and better-governed manner.</w:t>
      </w:r>
    </w:p>
    <w:p w14:paraId="70FB55EC" w14:textId="77777777" w:rsidR="00853EE8" w:rsidRPr="00FC1C03" w:rsidRDefault="00DF5CAC" w:rsidP="00FC1C03">
      <w:pPr>
        <w:keepNext/>
        <w:spacing w:line="480" w:lineRule="auto"/>
        <w:jc w:val="both"/>
        <w:rPr>
          <w:rFonts w:ascii="Gill Sans MT" w:hAnsi="Gill Sans MT"/>
          <w:sz w:val="24"/>
          <w:szCs w:val="24"/>
        </w:rPr>
      </w:pPr>
      <w:r w:rsidRPr="00FC1C03">
        <w:rPr>
          <w:rFonts w:ascii="Gill Sans MT" w:hAnsi="Gill Sans MT"/>
          <w:noProof/>
          <w:sz w:val="24"/>
          <w:szCs w:val="24"/>
        </w:rPr>
        <w:lastRenderedPageBreak/>
        <w:drawing>
          <wp:inline distT="0" distB="0" distL="0" distR="0" wp14:anchorId="58319BED" wp14:editId="7E6FA0FC">
            <wp:extent cx="5542059" cy="4761694"/>
            <wp:effectExtent l="0" t="0" r="1905" b="1270"/>
            <wp:docPr id="1240822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6864" r="17655"/>
                    <a:stretch>
                      <a:fillRect/>
                    </a:stretch>
                  </pic:blipFill>
                  <pic:spPr bwMode="auto">
                    <a:xfrm>
                      <a:off x="0" y="0"/>
                      <a:ext cx="5552771" cy="4770898"/>
                    </a:xfrm>
                    <a:prstGeom prst="rect">
                      <a:avLst/>
                    </a:prstGeom>
                    <a:noFill/>
                    <a:ln>
                      <a:noFill/>
                    </a:ln>
                    <a:extLst>
                      <a:ext uri="{53640926-AAD7-44D8-BBD7-CCE9431645EC}">
                        <a14:shadowObscured xmlns:a14="http://schemas.microsoft.com/office/drawing/2010/main"/>
                      </a:ext>
                    </a:extLst>
                  </pic:spPr>
                </pic:pic>
              </a:graphicData>
            </a:graphic>
          </wp:inline>
        </w:drawing>
      </w:r>
    </w:p>
    <w:p w14:paraId="1580E500" w14:textId="655F7710" w:rsidR="00104F01" w:rsidRPr="00FC1C03" w:rsidRDefault="00853EE8" w:rsidP="00FC1C03">
      <w:pPr>
        <w:pStyle w:val="Caption"/>
        <w:spacing w:line="480" w:lineRule="auto"/>
        <w:jc w:val="both"/>
        <w:rPr>
          <w:rFonts w:ascii="Gill Sans MT" w:hAnsi="Gill Sans MT"/>
          <w:color w:val="auto"/>
          <w:sz w:val="24"/>
          <w:szCs w:val="24"/>
        </w:rPr>
      </w:pPr>
      <w:bookmarkStart w:id="8" w:name="_Toc226845505"/>
      <w:r w:rsidRPr="00FC1C03">
        <w:rPr>
          <w:rFonts w:ascii="Gill Sans MT" w:hAnsi="Gill Sans MT"/>
          <w:sz w:val="24"/>
          <w:szCs w:val="24"/>
        </w:rPr>
        <w:t xml:space="preserve">Figure </w:t>
      </w:r>
      <w:r w:rsidRPr="00FC1C03">
        <w:rPr>
          <w:rFonts w:ascii="Gill Sans MT" w:hAnsi="Gill Sans MT"/>
          <w:sz w:val="24"/>
          <w:szCs w:val="24"/>
        </w:rPr>
        <w:fldChar w:fldCharType="begin"/>
      </w:r>
      <w:r w:rsidRPr="00FC1C03">
        <w:rPr>
          <w:rFonts w:ascii="Gill Sans MT" w:hAnsi="Gill Sans MT"/>
          <w:sz w:val="24"/>
          <w:szCs w:val="24"/>
        </w:rPr>
        <w:instrText xml:space="preserve"> SEQ Figure \* ARABIC </w:instrText>
      </w:r>
      <w:r w:rsidRPr="00FC1C03">
        <w:rPr>
          <w:rFonts w:ascii="Gill Sans MT" w:hAnsi="Gill Sans MT"/>
          <w:sz w:val="24"/>
          <w:szCs w:val="24"/>
        </w:rPr>
        <w:fldChar w:fldCharType="separate"/>
      </w:r>
      <w:r w:rsidRPr="00FC1C03">
        <w:rPr>
          <w:rFonts w:ascii="Gill Sans MT" w:hAnsi="Gill Sans MT"/>
          <w:noProof/>
          <w:sz w:val="24"/>
          <w:szCs w:val="24"/>
        </w:rPr>
        <w:t>2</w:t>
      </w:r>
      <w:r w:rsidRPr="00FC1C03">
        <w:rPr>
          <w:rFonts w:ascii="Gill Sans MT" w:hAnsi="Gill Sans MT"/>
          <w:sz w:val="24"/>
          <w:szCs w:val="24"/>
        </w:rPr>
        <w:fldChar w:fldCharType="end"/>
      </w:r>
      <w:r w:rsidRPr="00FC1C03">
        <w:rPr>
          <w:rFonts w:ascii="Gill Sans MT" w:hAnsi="Gill Sans MT"/>
          <w:sz w:val="24"/>
          <w:szCs w:val="24"/>
        </w:rPr>
        <w:t xml:space="preserve"> Integrated Strategy Map for Woolworths Group</w:t>
      </w:r>
      <w:bookmarkEnd w:id="8"/>
    </w:p>
    <w:p w14:paraId="0CDDFF74" w14:textId="0995A352" w:rsidR="00104F01" w:rsidRPr="00FC1C03" w:rsidRDefault="00DF5CAC" w:rsidP="00FC1C03">
      <w:pPr>
        <w:pStyle w:val="Heading2"/>
        <w:spacing w:line="480" w:lineRule="auto"/>
        <w:rPr>
          <w:szCs w:val="24"/>
        </w:rPr>
      </w:pPr>
      <w:bookmarkStart w:id="9" w:name="_Toc226844788"/>
      <w:r w:rsidRPr="00FC1C03">
        <w:rPr>
          <w:szCs w:val="24"/>
        </w:rPr>
        <w:t>2.5 Functional-Level Strategies</w:t>
      </w:r>
      <w:bookmarkEnd w:id="9"/>
    </w:p>
    <w:p w14:paraId="780C7801" w14:textId="77777777" w:rsidR="001D5393" w:rsidRPr="00FC1C03" w:rsidRDefault="001D5393" w:rsidP="00FC1C03">
      <w:pPr>
        <w:spacing w:line="480" w:lineRule="auto"/>
        <w:rPr>
          <w:rFonts w:ascii="Gill Sans MT" w:hAnsi="Gill Sans MT"/>
          <w:sz w:val="24"/>
          <w:szCs w:val="24"/>
        </w:rPr>
      </w:pPr>
      <w:r w:rsidRPr="00FC1C03">
        <w:rPr>
          <w:rFonts w:ascii="Gill Sans MT" w:hAnsi="Gill Sans MT"/>
          <w:sz w:val="24"/>
          <w:szCs w:val="24"/>
        </w:rPr>
        <w:t>This is to be focused at the functional level, wherein operations and supply chain should consider a fresh-and-availability agenda. This implies network renewal, inventory visibility tightening and extending of direct sourcing and category-planning disciplines in fresh such that Woolworths emerges as a winner on quality and availability and waste reduction all at the same time. This type of approach is rational since freshness is one of the fundamental sources of differentiation whereas reliability in supply is a condition to be trusted value. It is a trade-off between capital intensity, and complexity of execution, but the payoff in terms of capability is less spoilage, and increased consistency of service.</w:t>
      </w:r>
    </w:p>
    <w:p w14:paraId="1164B893" w14:textId="58616328" w:rsidR="001D5393" w:rsidRPr="00FC1C03" w:rsidRDefault="001D5393"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lastRenderedPageBreak/>
        <w:t xml:space="preserve">The customer strategy and marketing should enhance value communication, as opposed to expanding the volume of promotion. Everyday value should be displayed through lower-shelf-price initiatives, unit-price openness, value-driven own-brand framework and </w:t>
      </w:r>
      <w:proofErr w:type="spellStart"/>
      <w:r w:rsidRPr="00FC1C03">
        <w:rPr>
          <w:rFonts w:ascii="Gill Sans MT" w:hAnsi="Gill Sans MT"/>
          <w:color w:val="auto"/>
          <w:sz w:val="24"/>
          <w:szCs w:val="24"/>
        </w:rPr>
        <w:t>individualised</w:t>
      </w:r>
      <w:proofErr w:type="spellEnd"/>
      <w:r w:rsidRPr="00FC1C03">
        <w:rPr>
          <w:rFonts w:ascii="Gill Sans MT" w:hAnsi="Gill Sans MT"/>
          <w:color w:val="auto"/>
          <w:sz w:val="24"/>
          <w:szCs w:val="24"/>
        </w:rPr>
        <w:t xml:space="preserve"> Rewards promotions, particularly in the case of cost-sensitive households. The disclosures by the company indicate that the engagement and value scores of Rewards go up when value is brought into the limelight and made more straightforward (Woolworths Group, 2025a, 2026a). </w:t>
      </w:r>
    </w:p>
    <w:p w14:paraId="199F3999" w14:textId="60099CC4" w:rsidR="00826BFA" w:rsidRPr="00FC1C03" w:rsidRDefault="001D5393"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Technology and data strategy must shift towards </w:t>
      </w:r>
      <w:proofErr w:type="spellStart"/>
      <w:r w:rsidRPr="00FC1C03">
        <w:rPr>
          <w:rFonts w:ascii="Gill Sans MT" w:hAnsi="Gill Sans MT"/>
          <w:color w:val="auto"/>
          <w:sz w:val="24"/>
          <w:szCs w:val="24"/>
        </w:rPr>
        <w:t>digitisation</w:t>
      </w:r>
      <w:proofErr w:type="spellEnd"/>
      <w:r w:rsidRPr="00FC1C03">
        <w:rPr>
          <w:rFonts w:ascii="Gill Sans MT" w:hAnsi="Gill Sans MT"/>
          <w:color w:val="auto"/>
          <w:sz w:val="24"/>
          <w:szCs w:val="24"/>
        </w:rPr>
        <w:t xml:space="preserve"> to decision advantage. Woolworths is already considering AI as a store </w:t>
      </w:r>
      <w:proofErr w:type="spellStart"/>
      <w:r w:rsidRPr="00FC1C03">
        <w:rPr>
          <w:rFonts w:ascii="Gill Sans MT" w:hAnsi="Gill Sans MT"/>
          <w:color w:val="auto"/>
          <w:sz w:val="24"/>
          <w:szCs w:val="24"/>
        </w:rPr>
        <w:t>labour</w:t>
      </w:r>
      <w:proofErr w:type="spellEnd"/>
      <w:r w:rsidRPr="00FC1C03">
        <w:rPr>
          <w:rFonts w:ascii="Gill Sans MT" w:hAnsi="Gill Sans MT"/>
          <w:color w:val="auto"/>
          <w:sz w:val="24"/>
          <w:szCs w:val="24"/>
        </w:rPr>
        <w:t xml:space="preserve"> planning enabler, picking </w:t>
      </w:r>
      <w:proofErr w:type="spellStart"/>
      <w:r w:rsidRPr="00FC1C03">
        <w:rPr>
          <w:rFonts w:ascii="Gill Sans MT" w:hAnsi="Gill Sans MT"/>
          <w:color w:val="auto"/>
          <w:sz w:val="24"/>
          <w:szCs w:val="24"/>
        </w:rPr>
        <w:t>optimisation</w:t>
      </w:r>
      <w:proofErr w:type="spellEnd"/>
      <w:r w:rsidRPr="00FC1C03">
        <w:rPr>
          <w:rFonts w:ascii="Gill Sans MT" w:hAnsi="Gill Sans MT"/>
          <w:color w:val="auto"/>
          <w:sz w:val="24"/>
          <w:szCs w:val="24"/>
        </w:rPr>
        <w:t xml:space="preserve"> and digital customer experience (Woolworths Group, 2025a, 2026a). Selective scale, which is deployed where the AI enhances customer outcomes or </w:t>
      </w:r>
      <w:proofErr w:type="spellStart"/>
      <w:r w:rsidRPr="00FC1C03">
        <w:rPr>
          <w:rFonts w:ascii="Gill Sans MT" w:hAnsi="Gill Sans MT"/>
          <w:color w:val="auto"/>
          <w:sz w:val="24"/>
          <w:szCs w:val="24"/>
        </w:rPr>
        <w:t>labour</w:t>
      </w:r>
      <w:proofErr w:type="spellEnd"/>
      <w:r w:rsidRPr="00FC1C03">
        <w:rPr>
          <w:rFonts w:ascii="Gill Sans MT" w:hAnsi="Gill Sans MT"/>
          <w:color w:val="auto"/>
          <w:sz w:val="24"/>
          <w:szCs w:val="24"/>
        </w:rPr>
        <w:t xml:space="preserve"> productivity, but is accompanied by more robust privacy, cyber and governance controls, is therefore the strategic task. The implication in people management is the frontline capability development, as opposed to mere </w:t>
      </w:r>
      <w:proofErr w:type="spellStart"/>
      <w:r w:rsidRPr="00FC1C03">
        <w:rPr>
          <w:rFonts w:ascii="Gill Sans MT" w:hAnsi="Gill Sans MT"/>
          <w:color w:val="auto"/>
          <w:sz w:val="24"/>
          <w:szCs w:val="24"/>
        </w:rPr>
        <w:t>labour</w:t>
      </w:r>
      <w:proofErr w:type="spellEnd"/>
      <w:r w:rsidRPr="00FC1C03">
        <w:rPr>
          <w:rFonts w:ascii="Gill Sans MT" w:hAnsi="Gill Sans MT"/>
          <w:color w:val="auto"/>
          <w:sz w:val="24"/>
          <w:szCs w:val="24"/>
        </w:rPr>
        <w:t xml:space="preserve"> compression. New departments, internet fulfilment and store performance demand a more specific skills and incentives and local responsibility. Lastly, sustainability and finance must collaborate: capital must be directed towards projects that enhance cost-effectiveness, resiliency or consumer confidence in the food-system, whereas projects that are low-fit must bear increased hurdle rates or be dropped. That is, the same logic of competition should be reinforced by functional strategies, and not the separate silos </w:t>
      </w:r>
      <w:proofErr w:type="spellStart"/>
      <w:r w:rsidRPr="00FC1C03">
        <w:rPr>
          <w:rFonts w:ascii="Gill Sans MT" w:hAnsi="Gill Sans MT"/>
          <w:color w:val="auto"/>
          <w:sz w:val="24"/>
          <w:szCs w:val="24"/>
        </w:rPr>
        <w:t>optimised</w:t>
      </w:r>
      <w:proofErr w:type="spellEnd"/>
      <w:r w:rsidRPr="00FC1C03">
        <w:rPr>
          <w:rFonts w:ascii="Gill Sans MT" w:hAnsi="Gill Sans MT"/>
          <w:color w:val="auto"/>
          <w:sz w:val="24"/>
          <w:szCs w:val="24"/>
        </w:rPr>
        <w:t>.</w:t>
      </w:r>
    </w:p>
    <w:p w14:paraId="76D7C923" w14:textId="46D497A2" w:rsidR="00104F01" w:rsidRPr="00FC1C03" w:rsidRDefault="00DF5CAC" w:rsidP="00FC1C03">
      <w:pPr>
        <w:pStyle w:val="Heading2"/>
        <w:spacing w:line="480" w:lineRule="auto"/>
        <w:rPr>
          <w:szCs w:val="24"/>
        </w:rPr>
      </w:pPr>
      <w:bookmarkStart w:id="10" w:name="_Toc226844789"/>
      <w:r w:rsidRPr="00FC1C03">
        <w:rPr>
          <w:szCs w:val="24"/>
        </w:rPr>
        <w:t>2.6 Business-Level Strategy</w:t>
      </w:r>
      <w:bookmarkEnd w:id="10"/>
    </w:p>
    <w:p w14:paraId="7C2915A1" w14:textId="77777777" w:rsidR="00A12170" w:rsidRPr="00FC1C03" w:rsidRDefault="00A12170" w:rsidP="00FC1C03">
      <w:pPr>
        <w:spacing w:line="480" w:lineRule="auto"/>
        <w:rPr>
          <w:rFonts w:ascii="Gill Sans MT" w:hAnsi="Gill Sans MT"/>
          <w:color w:val="auto"/>
          <w:sz w:val="24"/>
          <w:szCs w:val="24"/>
        </w:rPr>
      </w:pPr>
      <w:r w:rsidRPr="00FC1C03">
        <w:rPr>
          <w:rFonts w:ascii="Gill Sans MT" w:hAnsi="Gill Sans MT"/>
          <w:sz w:val="24"/>
          <w:szCs w:val="24"/>
        </w:rPr>
        <w:t xml:space="preserve">An integrated value strategy is the best business-level strategy that Woolworths can have: neither pure cost leadership, nor high-end differentiation, but a disciplined mix of trusted price and fresh-food advantage, convenience and omnichannel comfort. The framework of Porter is still helpful in this case since it helps to understand the risk of strategic vagueness; </w:t>
      </w:r>
      <w:r w:rsidRPr="00FC1C03">
        <w:rPr>
          <w:rFonts w:ascii="Gill Sans MT" w:hAnsi="Gill Sans MT"/>
          <w:sz w:val="24"/>
          <w:szCs w:val="24"/>
        </w:rPr>
        <w:lastRenderedPageBreak/>
        <w:t xml:space="preserve">but now, in the modern grocery retailing, the scale leaders can use the </w:t>
      </w:r>
      <w:proofErr w:type="gramStart"/>
      <w:r w:rsidRPr="00FC1C03">
        <w:rPr>
          <w:rFonts w:ascii="Gill Sans MT" w:hAnsi="Gill Sans MT"/>
          <w:sz w:val="24"/>
          <w:szCs w:val="24"/>
        </w:rPr>
        <w:t>low cost</w:t>
      </w:r>
      <w:proofErr w:type="gramEnd"/>
      <w:r w:rsidRPr="00FC1C03">
        <w:rPr>
          <w:rFonts w:ascii="Gill Sans MT" w:hAnsi="Gill Sans MT"/>
          <w:sz w:val="24"/>
          <w:szCs w:val="24"/>
        </w:rPr>
        <w:t xml:space="preserve"> advantages and differentiated service attributes when they have the resources and systems to do it (Porter, 1985, 1996). The </w:t>
      </w:r>
      <w:r w:rsidRPr="00FC1C03">
        <w:rPr>
          <w:rFonts w:ascii="Gill Sans MT" w:hAnsi="Gill Sans MT"/>
          <w:color w:val="auto"/>
          <w:sz w:val="24"/>
          <w:szCs w:val="24"/>
        </w:rPr>
        <w:t>business model of Woolworths advocates the very approach. The combination of its dense store network, ability to own its own brands, supply-chain resources and Rewards ecosystem make it able to provide lower total shopping friction, not necessarily lower ticket prices.</w:t>
      </w:r>
    </w:p>
    <w:p w14:paraId="04D6DCF9" w14:textId="77777777" w:rsidR="00FC1C03" w:rsidRPr="00FC1C03" w:rsidRDefault="00A12170"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Three mutually reinforcing mechanisms should then be used to maintain competitive advantage, first, the high-quality fresh-food delivery and product curation; second, reduced customer effort in stores, online services, pick-up and fast delivery; third, more data-driven </w:t>
      </w:r>
      <w:proofErr w:type="spellStart"/>
      <w:r w:rsidRPr="00FC1C03">
        <w:rPr>
          <w:rFonts w:ascii="Gill Sans MT" w:hAnsi="Gill Sans MT"/>
          <w:color w:val="auto"/>
          <w:sz w:val="24"/>
          <w:szCs w:val="24"/>
        </w:rPr>
        <w:t>personalisation</w:t>
      </w:r>
      <w:proofErr w:type="spellEnd"/>
      <w:r w:rsidRPr="00FC1C03">
        <w:rPr>
          <w:rFonts w:ascii="Gill Sans MT" w:hAnsi="Gill Sans MT"/>
          <w:color w:val="auto"/>
          <w:sz w:val="24"/>
          <w:szCs w:val="24"/>
        </w:rPr>
        <w:t>, which increases the value of the basket and loyalty without sacrificing trust. This puts Woolworths in opposition to the limited focus of value of ALDI, and a more traditional imitation of the supermarket by integrating convenience and ecosystem into the value proposition.</w:t>
      </w:r>
      <w:bookmarkStart w:id="11" w:name="_Toc226844790"/>
    </w:p>
    <w:p w14:paraId="36B67D79" w14:textId="42F67AEE" w:rsidR="00104F01" w:rsidRPr="00FC1C03" w:rsidRDefault="00DF5CAC" w:rsidP="00FC1C03">
      <w:pPr>
        <w:pStyle w:val="Heading2"/>
        <w:spacing w:line="480" w:lineRule="auto"/>
        <w:rPr>
          <w:szCs w:val="24"/>
        </w:rPr>
      </w:pPr>
      <w:r w:rsidRPr="00FC1C03">
        <w:rPr>
          <w:szCs w:val="24"/>
        </w:rPr>
        <w:t>2.7 Corporate-Level Strategies</w:t>
      </w:r>
      <w:bookmarkEnd w:id="11"/>
    </w:p>
    <w:p w14:paraId="46F93001" w14:textId="77777777" w:rsidR="000A6717" w:rsidRPr="00FC1C03" w:rsidRDefault="000A6717"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 xml:space="preserve">On a corporate level, Woolworths ought to work towards related, capability-based portfolio management. The first one is to focus on simplifying the portfolio: capital and management focus should be on food-led core and businesses that are complementary and have a strategic adjacency. This is already a step Woolworths has taken in the right direction, as recent announcements of closing down the customer site of </w:t>
      </w:r>
      <w:proofErr w:type="spellStart"/>
      <w:r w:rsidRPr="00FC1C03">
        <w:rPr>
          <w:rFonts w:ascii="Gill Sans MT" w:hAnsi="Gill Sans MT"/>
          <w:color w:val="auto"/>
          <w:sz w:val="24"/>
          <w:szCs w:val="24"/>
        </w:rPr>
        <w:t>MyDeal</w:t>
      </w:r>
      <w:proofErr w:type="spellEnd"/>
      <w:r w:rsidRPr="00FC1C03">
        <w:rPr>
          <w:rFonts w:ascii="Gill Sans MT" w:hAnsi="Gill Sans MT"/>
          <w:color w:val="auto"/>
          <w:sz w:val="24"/>
          <w:szCs w:val="24"/>
        </w:rPr>
        <w:t xml:space="preserve"> and merging or selling off smaller businesses show that the company has already begun the process (Woolworths Group, 2025a, 2025b). The second one is selective ecosystem growth. PFD, </w:t>
      </w:r>
      <w:proofErr w:type="spellStart"/>
      <w:r w:rsidRPr="00FC1C03">
        <w:rPr>
          <w:rFonts w:ascii="Gill Sans MT" w:hAnsi="Gill Sans MT"/>
          <w:color w:val="auto"/>
          <w:sz w:val="24"/>
          <w:szCs w:val="24"/>
        </w:rPr>
        <w:t>Cartology</w:t>
      </w:r>
      <w:proofErr w:type="spellEnd"/>
      <w:r w:rsidRPr="00FC1C03">
        <w:rPr>
          <w:rFonts w:ascii="Gill Sans MT" w:hAnsi="Gill Sans MT"/>
          <w:color w:val="auto"/>
          <w:sz w:val="24"/>
          <w:szCs w:val="24"/>
        </w:rPr>
        <w:t>, Rewards and some partnership-based propositions have the potential to generate group level value since they build on customer access, supplier relationships, logistics reach/data infrastructure, which the retail core already creates.</w:t>
      </w:r>
    </w:p>
    <w:p w14:paraId="34B498B1" w14:textId="60B378D1" w:rsidR="00826BFA" w:rsidRPr="00FC1C03" w:rsidRDefault="000A6717" w:rsidP="00FC1C03">
      <w:pPr>
        <w:spacing w:line="480" w:lineRule="auto"/>
        <w:rPr>
          <w:rFonts w:ascii="Gill Sans MT" w:hAnsi="Gill Sans MT"/>
          <w:sz w:val="24"/>
          <w:szCs w:val="24"/>
        </w:rPr>
      </w:pPr>
      <w:r w:rsidRPr="00FC1C03">
        <w:rPr>
          <w:rFonts w:ascii="Gill Sans MT" w:hAnsi="Gill Sans MT"/>
          <w:sz w:val="24"/>
          <w:szCs w:val="24"/>
        </w:rPr>
        <w:lastRenderedPageBreak/>
        <w:t>The third business strategy is the ability investment instead of irrelevant growth. Store renewal, fulfilment, digital architecture, cyber resilience, sustainability traceability and AI-enabled planning investments are best made at a group level since they are beneficial to a variety of businesses. The fourth direction is as strategy, not compliance, the sustainability integration. Emissions, waste, sourcing integrity and supplier behavior affect the cost, risk, legitimacy and customer trust at the portfolio level in a food retailer. Corporate strategy must thus give precedence to business and alliance that give the group a chance to enhance its long-term food-and-everyday-needs ecosystem.</w:t>
      </w:r>
    </w:p>
    <w:p w14:paraId="4F6CA7D3" w14:textId="264B134B" w:rsidR="00104F01" w:rsidRPr="00FC1C03" w:rsidRDefault="00DF5CAC" w:rsidP="00FC1C03">
      <w:pPr>
        <w:pStyle w:val="Heading2"/>
        <w:spacing w:line="480" w:lineRule="auto"/>
        <w:rPr>
          <w:szCs w:val="24"/>
        </w:rPr>
      </w:pPr>
      <w:bookmarkStart w:id="12" w:name="_Toc226844791"/>
      <w:r w:rsidRPr="00FC1C03">
        <w:rPr>
          <w:szCs w:val="24"/>
        </w:rPr>
        <w:t>2.8 Strategy Implementation</w:t>
      </w:r>
      <w:bookmarkEnd w:id="12"/>
    </w:p>
    <w:p w14:paraId="3CE40A6A" w14:textId="77777777" w:rsidR="00E715EE" w:rsidRPr="00FC1C03" w:rsidRDefault="00E715EE" w:rsidP="00FC1C03">
      <w:pPr>
        <w:spacing w:line="480" w:lineRule="auto"/>
        <w:rPr>
          <w:rFonts w:ascii="Gill Sans MT" w:hAnsi="Gill Sans MT"/>
          <w:color w:val="auto"/>
          <w:sz w:val="24"/>
          <w:szCs w:val="24"/>
        </w:rPr>
      </w:pPr>
      <w:r w:rsidRPr="00FC1C03">
        <w:rPr>
          <w:rFonts w:ascii="Gill Sans MT" w:hAnsi="Gill Sans MT"/>
          <w:sz w:val="24"/>
          <w:szCs w:val="24"/>
        </w:rPr>
        <w:t>It should be implemented in a sequential manner in three horizons. During the initial 12 months, Woolworths ought to</w:t>
      </w:r>
      <w:r w:rsidRPr="00FC1C03">
        <w:rPr>
          <w:rFonts w:ascii="Gill Sans MT" w:hAnsi="Gill Sans MT"/>
          <w:color w:val="auto"/>
          <w:sz w:val="24"/>
          <w:szCs w:val="24"/>
        </w:rPr>
        <w:t xml:space="preserve"> </w:t>
      </w:r>
      <w:proofErr w:type="spellStart"/>
      <w:r w:rsidRPr="00FC1C03">
        <w:rPr>
          <w:rFonts w:ascii="Gill Sans MT" w:hAnsi="Gill Sans MT"/>
          <w:color w:val="auto"/>
          <w:sz w:val="24"/>
          <w:szCs w:val="24"/>
        </w:rPr>
        <w:t>stabilise</w:t>
      </w:r>
      <w:proofErr w:type="spellEnd"/>
      <w:r w:rsidRPr="00FC1C03">
        <w:rPr>
          <w:rFonts w:ascii="Gill Sans MT" w:hAnsi="Gill Sans MT"/>
          <w:color w:val="auto"/>
          <w:sz w:val="24"/>
          <w:szCs w:val="24"/>
        </w:rPr>
        <w:t xml:space="preserve"> the fundamentals: entrench simpler operating designs, full supply-chain priority development, enhance price and range management, and </w:t>
      </w:r>
      <w:proofErr w:type="spellStart"/>
      <w:r w:rsidRPr="00FC1C03">
        <w:rPr>
          <w:rFonts w:ascii="Gill Sans MT" w:hAnsi="Gill Sans MT"/>
          <w:color w:val="auto"/>
          <w:sz w:val="24"/>
          <w:szCs w:val="24"/>
        </w:rPr>
        <w:t>stabilise</w:t>
      </w:r>
      <w:proofErr w:type="spellEnd"/>
      <w:r w:rsidRPr="00FC1C03">
        <w:rPr>
          <w:rFonts w:ascii="Gill Sans MT" w:hAnsi="Gill Sans MT"/>
          <w:color w:val="auto"/>
          <w:sz w:val="24"/>
          <w:szCs w:val="24"/>
        </w:rPr>
        <w:t xml:space="preserve"> customer confidence by means of more dependable value communication and store implementation. The CEO and the Woolworths Retail leadership must be accountable, with the assistance of the CFO, Supply-chain, digital and people leaders. During months 12-24, focus should be made to productivity and scaling: AI-enabled </w:t>
      </w:r>
      <w:proofErr w:type="spellStart"/>
      <w:r w:rsidRPr="00FC1C03">
        <w:rPr>
          <w:rFonts w:ascii="Gill Sans MT" w:hAnsi="Gill Sans MT"/>
          <w:color w:val="auto"/>
          <w:sz w:val="24"/>
          <w:szCs w:val="24"/>
        </w:rPr>
        <w:t>labour</w:t>
      </w:r>
      <w:proofErr w:type="spellEnd"/>
      <w:r w:rsidRPr="00FC1C03">
        <w:rPr>
          <w:rFonts w:ascii="Gill Sans MT" w:hAnsi="Gill Sans MT"/>
          <w:color w:val="auto"/>
          <w:sz w:val="24"/>
          <w:szCs w:val="24"/>
        </w:rPr>
        <w:t xml:space="preserve"> planning, fresh-sourcing redesign, more disciplined category resets, and enhanced Rewards and digital integration. During the 24-36 months, the emphasis should be on reaping portfolio benefits in terms of complementary business and growth of ecosystems driven by partnerships.</w:t>
      </w:r>
    </w:p>
    <w:p w14:paraId="521FEDDE" w14:textId="13704CAB" w:rsidR="00826BFA" w:rsidRPr="00FC1C03" w:rsidRDefault="00E715EE" w:rsidP="00FC1C03">
      <w:pPr>
        <w:spacing w:line="480" w:lineRule="auto"/>
        <w:jc w:val="both"/>
        <w:rPr>
          <w:rFonts w:ascii="Gill Sans MT" w:hAnsi="Gill Sans MT"/>
          <w:sz w:val="24"/>
          <w:szCs w:val="24"/>
        </w:rPr>
      </w:pPr>
      <w:r w:rsidRPr="00FC1C03">
        <w:rPr>
          <w:rFonts w:ascii="Gill Sans MT" w:hAnsi="Gill Sans MT"/>
          <w:sz w:val="24"/>
          <w:szCs w:val="24"/>
        </w:rPr>
        <w:t xml:space="preserve">Resource allocation and change management are also important to successful implementation. The capital should be focused on those initiatives that will address several priorities simultaneously, which includes fulfilment automation, store renewal, cyber resilience, data platforms and frontline capability. Stage gates and post-investment reviews should be employed by the management in such a way that strategic projects are not transformed to inertia projects. The key risks are margin erosion due to unadhered price investment, store </w:t>
      </w:r>
      <w:r w:rsidRPr="00FC1C03">
        <w:rPr>
          <w:rFonts w:ascii="Gill Sans MT" w:hAnsi="Gill Sans MT"/>
          <w:sz w:val="24"/>
          <w:szCs w:val="24"/>
        </w:rPr>
        <w:lastRenderedPageBreak/>
        <w:t xml:space="preserve">change fatigue, supplier pressure, and data-governance failures and the failure to </w:t>
      </w:r>
      <w:proofErr w:type="spellStart"/>
      <w:r w:rsidRPr="00FC1C03">
        <w:rPr>
          <w:rFonts w:ascii="Gill Sans MT" w:hAnsi="Gill Sans MT"/>
          <w:sz w:val="24"/>
          <w:szCs w:val="24"/>
        </w:rPr>
        <w:t>realise</w:t>
      </w:r>
      <w:proofErr w:type="spellEnd"/>
      <w:r w:rsidRPr="00FC1C03">
        <w:rPr>
          <w:rFonts w:ascii="Gill Sans MT" w:hAnsi="Gill Sans MT"/>
          <w:sz w:val="24"/>
          <w:szCs w:val="24"/>
        </w:rPr>
        <w:t xml:space="preserve"> productivity benefits. Implementation failure, according to </w:t>
      </w:r>
      <w:proofErr w:type="spellStart"/>
      <w:r w:rsidRPr="00FC1C03">
        <w:rPr>
          <w:rFonts w:ascii="Gill Sans MT" w:hAnsi="Gill Sans MT"/>
          <w:sz w:val="24"/>
          <w:szCs w:val="24"/>
        </w:rPr>
        <w:t>Hrebiniak</w:t>
      </w:r>
      <w:proofErr w:type="spellEnd"/>
      <w:r w:rsidRPr="00FC1C03">
        <w:rPr>
          <w:rFonts w:ascii="Gill Sans MT" w:hAnsi="Gill Sans MT"/>
          <w:sz w:val="24"/>
          <w:szCs w:val="24"/>
        </w:rPr>
        <w:t xml:space="preserve"> (2006), is usually indicative of coordination and accountability lapses as opposed to a bad intent. Woolworths must have a program office logic thus; there must be clearly defined owners, a discipline of milestones, a path of escalation and a decision of visible trade-offs when initiatives vie against each other to access the resources.</w:t>
      </w:r>
    </w:p>
    <w:p w14:paraId="31F2ADE1" w14:textId="2FC37438" w:rsidR="00104F01" w:rsidRPr="00FC1C03" w:rsidRDefault="00DF5CAC" w:rsidP="00FC1C03">
      <w:pPr>
        <w:pStyle w:val="Heading2"/>
        <w:spacing w:line="480" w:lineRule="auto"/>
        <w:rPr>
          <w:szCs w:val="24"/>
        </w:rPr>
      </w:pPr>
      <w:bookmarkStart w:id="13" w:name="_Toc226844792"/>
      <w:r w:rsidRPr="00FC1C03">
        <w:rPr>
          <w:szCs w:val="24"/>
        </w:rPr>
        <w:t>2.9 Monitoring and Control</w:t>
      </w:r>
      <w:bookmarkEnd w:id="13"/>
    </w:p>
    <w:p w14:paraId="4E53D2F3" w14:textId="77777777" w:rsidR="001E39A5" w:rsidRPr="00FC1C03" w:rsidRDefault="001E39A5" w:rsidP="00FC1C03">
      <w:pPr>
        <w:spacing w:line="480" w:lineRule="auto"/>
        <w:rPr>
          <w:rFonts w:ascii="Gill Sans MT" w:hAnsi="Gill Sans MT"/>
          <w:color w:val="auto"/>
          <w:sz w:val="24"/>
          <w:szCs w:val="24"/>
        </w:rPr>
      </w:pPr>
      <w:r w:rsidRPr="00FC1C03">
        <w:rPr>
          <w:rFonts w:ascii="Gill Sans MT" w:hAnsi="Gill Sans MT"/>
          <w:sz w:val="24"/>
          <w:szCs w:val="24"/>
        </w:rPr>
        <w:t>Financial discipline should be coupled with strategic learning in the monitoring and control. Aggregate sales and EBIT are not sufficient as the two lagging indicators that Woolworths should use since they can conceal</w:t>
      </w:r>
      <w:r w:rsidRPr="00FC1C03">
        <w:rPr>
          <w:rFonts w:ascii="Gill Sans MT" w:hAnsi="Gill Sans MT"/>
          <w:color w:val="auto"/>
          <w:sz w:val="24"/>
          <w:szCs w:val="24"/>
        </w:rPr>
        <w:t xml:space="preserve"> customer trust, </w:t>
      </w:r>
      <w:proofErr w:type="spellStart"/>
      <w:r w:rsidRPr="00FC1C03">
        <w:rPr>
          <w:rFonts w:ascii="Gill Sans MT" w:hAnsi="Gill Sans MT"/>
          <w:color w:val="auto"/>
          <w:sz w:val="24"/>
          <w:szCs w:val="24"/>
        </w:rPr>
        <w:t>labour</w:t>
      </w:r>
      <w:proofErr w:type="spellEnd"/>
      <w:r w:rsidRPr="00FC1C03">
        <w:rPr>
          <w:rFonts w:ascii="Gill Sans MT" w:hAnsi="Gill Sans MT"/>
          <w:color w:val="auto"/>
          <w:sz w:val="24"/>
          <w:szCs w:val="24"/>
        </w:rPr>
        <w:t xml:space="preserve"> capability or fulfilment economics value destruction. A more suitable system would be a balanced control system, which would tie customer, operational, financial and capability measures with the strategic priorities (Kaplan and Norton, 2004). Practically, this will entail monitoring market-share trend, value and new customer ratings, e-commerce infiltration, cost-to-serve, own-brand mixture, client loyalty involvement, CODB, ROFE, </w:t>
      </w:r>
      <w:proofErr w:type="spellStart"/>
      <w:r w:rsidRPr="00FC1C03">
        <w:rPr>
          <w:rFonts w:ascii="Gill Sans MT" w:hAnsi="Gill Sans MT"/>
          <w:color w:val="auto"/>
          <w:sz w:val="24"/>
          <w:szCs w:val="24"/>
        </w:rPr>
        <w:t>stockloss</w:t>
      </w:r>
      <w:proofErr w:type="spellEnd"/>
      <w:r w:rsidRPr="00FC1C03">
        <w:rPr>
          <w:rFonts w:ascii="Gill Sans MT" w:hAnsi="Gill Sans MT"/>
          <w:color w:val="auto"/>
          <w:sz w:val="24"/>
          <w:szCs w:val="24"/>
        </w:rPr>
        <w:t>, safety measurements, food-waste redirection and chosen sustainability measures. New disclosures of the company already demonstrate the viability of such a dashboard with the help of such measures as VOC NPS, Rewards engagement, eCommerce penetration and safety outcomes (Woolworths Group, 2025a, 2026a).</w:t>
      </w:r>
    </w:p>
    <w:p w14:paraId="3D0DFD15" w14:textId="00D08AC0" w:rsidR="001E39A5" w:rsidRPr="00FC1C03" w:rsidRDefault="001E39A5"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The control is supposed to be of various rhythms. The executive reviews on monthly basis should review the operational and customer indicators, quarterly board reviews should review capital productivity, risk and strategic deviations and half year reviews should review whether the priorities of the portfolio are still valid. Corrective action should be pre-determined as opposed to being impromptu. Persistent share weakness should be used as an example, category-price resets should be used when economics of e-commerce are in bad </w:t>
      </w:r>
      <w:r w:rsidRPr="00FC1C03">
        <w:rPr>
          <w:rFonts w:ascii="Gill Sans MT" w:hAnsi="Gill Sans MT"/>
          <w:color w:val="auto"/>
          <w:sz w:val="24"/>
          <w:szCs w:val="24"/>
        </w:rPr>
        <w:lastRenderedPageBreak/>
        <w:t>shape, channel-mix or fulfilment redesign should be used when partnership or capital-allocation review is needed. This makes monitoring a passive reporting to an active strategy control.</w:t>
      </w:r>
    </w:p>
    <w:p w14:paraId="1EDB58B7"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b/>
          <w:color w:val="auto"/>
          <w:sz w:val="24"/>
          <w:szCs w:val="24"/>
        </w:rPr>
        <w:t>Table 1. Monitoring and Control Dashboard</w:t>
      </w:r>
    </w:p>
    <w:tbl>
      <w:tblPr>
        <w:tblW w:w="0" w:type="auto"/>
        <w:jc w:val="center"/>
        <w:tblBorders>
          <w:top w:val="single" w:sz="6" w:space="0" w:color="A7BFA2"/>
          <w:left w:val="single" w:sz="6" w:space="0" w:color="A7BFA2"/>
          <w:bottom w:val="single" w:sz="6" w:space="0" w:color="A7BFA2"/>
          <w:right w:val="single" w:sz="6" w:space="0" w:color="A7BFA2"/>
          <w:insideH w:val="single" w:sz="6" w:space="0" w:color="A7BFA2"/>
          <w:insideV w:val="single" w:sz="6" w:space="0" w:color="A7BFA2"/>
        </w:tblBorders>
        <w:tblLayout w:type="fixed"/>
        <w:tblLook w:val="04A0" w:firstRow="1" w:lastRow="0" w:firstColumn="1" w:lastColumn="0" w:noHBand="0" w:noVBand="1"/>
      </w:tblPr>
      <w:tblGrid>
        <w:gridCol w:w="1984"/>
        <w:gridCol w:w="2607"/>
        <w:gridCol w:w="1700"/>
        <w:gridCol w:w="2324"/>
      </w:tblGrid>
      <w:tr w:rsidR="00DF5CAC" w:rsidRPr="00FC1C03" w14:paraId="5483FF8B" w14:textId="77777777">
        <w:trPr>
          <w:tblHeader/>
          <w:jc w:val="center"/>
        </w:trPr>
        <w:tc>
          <w:tcPr>
            <w:tcW w:w="1984" w:type="dxa"/>
            <w:shd w:val="clear" w:color="auto" w:fill="D9EAD3"/>
            <w:tcMar>
              <w:top w:w="45" w:type="dxa"/>
              <w:left w:w="55" w:type="dxa"/>
              <w:bottom w:w="45" w:type="dxa"/>
              <w:right w:w="55" w:type="dxa"/>
            </w:tcMar>
            <w:vAlign w:val="center"/>
          </w:tcPr>
          <w:p w14:paraId="5FE7237E"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b/>
                <w:color w:val="auto"/>
                <w:sz w:val="24"/>
                <w:szCs w:val="24"/>
              </w:rPr>
              <w:t>Strategic Area</w:t>
            </w:r>
          </w:p>
        </w:tc>
        <w:tc>
          <w:tcPr>
            <w:tcW w:w="2607" w:type="dxa"/>
            <w:shd w:val="clear" w:color="auto" w:fill="D9EAD3"/>
            <w:tcMar>
              <w:top w:w="45" w:type="dxa"/>
              <w:left w:w="55" w:type="dxa"/>
              <w:bottom w:w="45" w:type="dxa"/>
              <w:right w:w="55" w:type="dxa"/>
            </w:tcMar>
            <w:vAlign w:val="center"/>
          </w:tcPr>
          <w:p w14:paraId="41498FC3"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b/>
                <w:color w:val="auto"/>
                <w:sz w:val="24"/>
                <w:szCs w:val="24"/>
              </w:rPr>
              <w:t>Core KPI</w:t>
            </w:r>
          </w:p>
        </w:tc>
        <w:tc>
          <w:tcPr>
            <w:tcW w:w="1700" w:type="dxa"/>
            <w:shd w:val="clear" w:color="auto" w:fill="D9EAD3"/>
            <w:tcMar>
              <w:top w:w="45" w:type="dxa"/>
              <w:left w:w="55" w:type="dxa"/>
              <w:bottom w:w="45" w:type="dxa"/>
              <w:right w:w="55" w:type="dxa"/>
            </w:tcMar>
            <w:vAlign w:val="center"/>
          </w:tcPr>
          <w:p w14:paraId="3E1CF066"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b/>
                <w:color w:val="auto"/>
                <w:sz w:val="24"/>
                <w:szCs w:val="24"/>
              </w:rPr>
              <w:t>Review Rhythm</w:t>
            </w:r>
          </w:p>
        </w:tc>
        <w:tc>
          <w:tcPr>
            <w:tcW w:w="2324" w:type="dxa"/>
            <w:shd w:val="clear" w:color="auto" w:fill="D9EAD3"/>
            <w:tcMar>
              <w:top w:w="45" w:type="dxa"/>
              <w:left w:w="55" w:type="dxa"/>
              <w:bottom w:w="45" w:type="dxa"/>
              <w:right w:w="55" w:type="dxa"/>
            </w:tcMar>
            <w:vAlign w:val="center"/>
          </w:tcPr>
          <w:p w14:paraId="773F5A9C"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b/>
                <w:color w:val="auto"/>
                <w:sz w:val="24"/>
                <w:szCs w:val="24"/>
              </w:rPr>
              <w:t>Corrective Action Logic</w:t>
            </w:r>
          </w:p>
        </w:tc>
      </w:tr>
      <w:tr w:rsidR="00DF5CAC" w:rsidRPr="00FC1C03" w14:paraId="5D4F57E3" w14:textId="77777777">
        <w:trPr>
          <w:jc w:val="center"/>
        </w:trPr>
        <w:tc>
          <w:tcPr>
            <w:tcW w:w="1984" w:type="dxa"/>
            <w:shd w:val="clear" w:color="auto" w:fill="FFFFFF"/>
            <w:tcMar>
              <w:top w:w="45" w:type="dxa"/>
              <w:left w:w="55" w:type="dxa"/>
              <w:bottom w:w="45" w:type="dxa"/>
              <w:right w:w="55" w:type="dxa"/>
            </w:tcMar>
            <w:vAlign w:val="center"/>
          </w:tcPr>
          <w:p w14:paraId="66EF4E7C"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Customer value</w:t>
            </w:r>
          </w:p>
        </w:tc>
        <w:tc>
          <w:tcPr>
            <w:tcW w:w="2607" w:type="dxa"/>
            <w:shd w:val="clear" w:color="auto" w:fill="FFFFFF"/>
            <w:tcMar>
              <w:top w:w="45" w:type="dxa"/>
              <w:left w:w="55" w:type="dxa"/>
              <w:bottom w:w="45" w:type="dxa"/>
              <w:right w:w="55" w:type="dxa"/>
            </w:tcMar>
            <w:vAlign w:val="center"/>
          </w:tcPr>
          <w:p w14:paraId="05A2E6D5"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Comparable sales, market-share trend, Value-for-Money VOC, Group NPS</w:t>
            </w:r>
          </w:p>
        </w:tc>
        <w:tc>
          <w:tcPr>
            <w:tcW w:w="1700" w:type="dxa"/>
            <w:shd w:val="clear" w:color="auto" w:fill="FFFFFF"/>
            <w:tcMar>
              <w:top w:w="45" w:type="dxa"/>
              <w:left w:w="55" w:type="dxa"/>
              <w:bottom w:w="45" w:type="dxa"/>
              <w:right w:w="55" w:type="dxa"/>
            </w:tcMar>
            <w:vAlign w:val="center"/>
          </w:tcPr>
          <w:p w14:paraId="557E2F8D"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Monthly and quarterly</w:t>
            </w:r>
          </w:p>
        </w:tc>
        <w:tc>
          <w:tcPr>
            <w:tcW w:w="2324" w:type="dxa"/>
            <w:shd w:val="clear" w:color="auto" w:fill="FFFFFF"/>
            <w:tcMar>
              <w:top w:w="45" w:type="dxa"/>
              <w:left w:w="55" w:type="dxa"/>
              <w:bottom w:w="45" w:type="dxa"/>
              <w:right w:w="55" w:type="dxa"/>
            </w:tcMar>
            <w:vAlign w:val="center"/>
          </w:tcPr>
          <w:p w14:paraId="64F31A93"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Escalate price, promotion and range resets if customer value or share weakens for two consecutive review periods</w:t>
            </w:r>
          </w:p>
        </w:tc>
      </w:tr>
      <w:tr w:rsidR="00DF5CAC" w:rsidRPr="00FC1C03" w14:paraId="5BD5C1AD" w14:textId="77777777">
        <w:trPr>
          <w:jc w:val="center"/>
        </w:trPr>
        <w:tc>
          <w:tcPr>
            <w:tcW w:w="1984" w:type="dxa"/>
            <w:shd w:val="clear" w:color="auto" w:fill="F8FBF7"/>
            <w:tcMar>
              <w:top w:w="45" w:type="dxa"/>
              <w:left w:w="55" w:type="dxa"/>
              <w:bottom w:w="45" w:type="dxa"/>
              <w:right w:w="55" w:type="dxa"/>
            </w:tcMar>
            <w:vAlign w:val="center"/>
          </w:tcPr>
          <w:p w14:paraId="47EB7B2D"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Omnichannel execution</w:t>
            </w:r>
          </w:p>
        </w:tc>
        <w:tc>
          <w:tcPr>
            <w:tcW w:w="2607" w:type="dxa"/>
            <w:shd w:val="clear" w:color="auto" w:fill="F8FBF7"/>
            <w:tcMar>
              <w:top w:w="45" w:type="dxa"/>
              <w:left w:w="55" w:type="dxa"/>
              <w:bottom w:w="45" w:type="dxa"/>
              <w:right w:w="55" w:type="dxa"/>
            </w:tcMar>
            <w:vAlign w:val="center"/>
          </w:tcPr>
          <w:p w14:paraId="2FE153C7"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eCommerce penetration, digital NPS, order accuracy, fulfilment cost-to-serve</w:t>
            </w:r>
          </w:p>
        </w:tc>
        <w:tc>
          <w:tcPr>
            <w:tcW w:w="1700" w:type="dxa"/>
            <w:shd w:val="clear" w:color="auto" w:fill="F8FBF7"/>
            <w:tcMar>
              <w:top w:w="45" w:type="dxa"/>
              <w:left w:w="55" w:type="dxa"/>
              <w:bottom w:w="45" w:type="dxa"/>
              <w:right w:w="55" w:type="dxa"/>
            </w:tcMar>
            <w:vAlign w:val="center"/>
          </w:tcPr>
          <w:p w14:paraId="7257B861"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Monthly</w:t>
            </w:r>
          </w:p>
        </w:tc>
        <w:tc>
          <w:tcPr>
            <w:tcW w:w="2324" w:type="dxa"/>
            <w:shd w:val="clear" w:color="auto" w:fill="F8FBF7"/>
            <w:tcMar>
              <w:top w:w="45" w:type="dxa"/>
              <w:left w:w="55" w:type="dxa"/>
              <w:bottom w:w="45" w:type="dxa"/>
              <w:right w:w="55" w:type="dxa"/>
            </w:tcMar>
            <w:vAlign w:val="center"/>
          </w:tcPr>
          <w:p w14:paraId="2A495F32"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Rebalance channel mix, pick-up incentives and fulfilment labour if economics or service levels fall below plan</w:t>
            </w:r>
          </w:p>
        </w:tc>
      </w:tr>
      <w:tr w:rsidR="00DF5CAC" w:rsidRPr="00FC1C03" w14:paraId="73D61A8D" w14:textId="77777777">
        <w:trPr>
          <w:jc w:val="center"/>
        </w:trPr>
        <w:tc>
          <w:tcPr>
            <w:tcW w:w="1984" w:type="dxa"/>
            <w:shd w:val="clear" w:color="auto" w:fill="FFFFFF"/>
            <w:tcMar>
              <w:top w:w="45" w:type="dxa"/>
              <w:left w:w="55" w:type="dxa"/>
              <w:bottom w:w="45" w:type="dxa"/>
              <w:right w:w="55" w:type="dxa"/>
            </w:tcMar>
            <w:vAlign w:val="center"/>
          </w:tcPr>
          <w:p w14:paraId="3273F2C0"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Productivity and returns</w:t>
            </w:r>
          </w:p>
        </w:tc>
        <w:tc>
          <w:tcPr>
            <w:tcW w:w="2607" w:type="dxa"/>
            <w:shd w:val="clear" w:color="auto" w:fill="FFFFFF"/>
            <w:tcMar>
              <w:top w:w="45" w:type="dxa"/>
              <w:left w:w="55" w:type="dxa"/>
              <w:bottom w:w="45" w:type="dxa"/>
              <w:right w:w="55" w:type="dxa"/>
            </w:tcMar>
            <w:vAlign w:val="center"/>
          </w:tcPr>
          <w:p w14:paraId="25346E9E"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EBIT growth, CODB, ROFE, run-rate cost savings</w:t>
            </w:r>
          </w:p>
        </w:tc>
        <w:tc>
          <w:tcPr>
            <w:tcW w:w="1700" w:type="dxa"/>
            <w:shd w:val="clear" w:color="auto" w:fill="FFFFFF"/>
            <w:tcMar>
              <w:top w:w="45" w:type="dxa"/>
              <w:left w:w="55" w:type="dxa"/>
              <w:bottom w:w="45" w:type="dxa"/>
              <w:right w:w="55" w:type="dxa"/>
            </w:tcMar>
            <w:vAlign w:val="center"/>
          </w:tcPr>
          <w:p w14:paraId="67846615"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Monthly and half-yearly</w:t>
            </w:r>
          </w:p>
        </w:tc>
        <w:tc>
          <w:tcPr>
            <w:tcW w:w="2324" w:type="dxa"/>
            <w:shd w:val="clear" w:color="auto" w:fill="FFFFFF"/>
            <w:tcMar>
              <w:top w:w="45" w:type="dxa"/>
              <w:left w:w="55" w:type="dxa"/>
              <w:bottom w:w="45" w:type="dxa"/>
              <w:right w:w="55" w:type="dxa"/>
            </w:tcMar>
            <w:vAlign w:val="center"/>
          </w:tcPr>
          <w:p w14:paraId="5D4D26CB"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Pause low-return initiatives, reallocate capex, and tighten cost controls where returns lag</w:t>
            </w:r>
          </w:p>
        </w:tc>
      </w:tr>
      <w:tr w:rsidR="00DF5CAC" w:rsidRPr="00FC1C03" w14:paraId="759E2722" w14:textId="77777777">
        <w:trPr>
          <w:jc w:val="center"/>
        </w:trPr>
        <w:tc>
          <w:tcPr>
            <w:tcW w:w="1984" w:type="dxa"/>
            <w:shd w:val="clear" w:color="auto" w:fill="F8FBF7"/>
            <w:tcMar>
              <w:top w:w="45" w:type="dxa"/>
              <w:left w:w="55" w:type="dxa"/>
              <w:bottom w:w="45" w:type="dxa"/>
              <w:right w:w="55" w:type="dxa"/>
            </w:tcMar>
            <w:vAlign w:val="center"/>
          </w:tcPr>
          <w:p w14:paraId="77C58722"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lastRenderedPageBreak/>
              <w:t>Loyalty and ecosystem</w:t>
            </w:r>
          </w:p>
        </w:tc>
        <w:tc>
          <w:tcPr>
            <w:tcW w:w="2607" w:type="dxa"/>
            <w:shd w:val="clear" w:color="auto" w:fill="F8FBF7"/>
            <w:tcMar>
              <w:top w:w="45" w:type="dxa"/>
              <w:left w:w="55" w:type="dxa"/>
              <w:bottom w:w="45" w:type="dxa"/>
              <w:right w:w="55" w:type="dxa"/>
            </w:tcMar>
            <w:vAlign w:val="center"/>
          </w:tcPr>
          <w:p w14:paraId="6FDE238D"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Active Rewards members, member engagement, Cartology revenue, partner attachment</w:t>
            </w:r>
          </w:p>
        </w:tc>
        <w:tc>
          <w:tcPr>
            <w:tcW w:w="1700" w:type="dxa"/>
            <w:shd w:val="clear" w:color="auto" w:fill="F8FBF7"/>
            <w:tcMar>
              <w:top w:w="45" w:type="dxa"/>
              <w:left w:w="55" w:type="dxa"/>
              <w:bottom w:w="45" w:type="dxa"/>
              <w:right w:w="55" w:type="dxa"/>
            </w:tcMar>
            <w:vAlign w:val="center"/>
          </w:tcPr>
          <w:p w14:paraId="3806D055"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Quarterly</w:t>
            </w:r>
          </w:p>
        </w:tc>
        <w:tc>
          <w:tcPr>
            <w:tcW w:w="2324" w:type="dxa"/>
            <w:shd w:val="clear" w:color="auto" w:fill="F8FBF7"/>
            <w:tcMar>
              <w:top w:w="45" w:type="dxa"/>
              <w:left w:w="55" w:type="dxa"/>
              <w:bottom w:w="45" w:type="dxa"/>
              <w:right w:w="55" w:type="dxa"/>
            </w:tcMar>
            <w:vAlign w:val="center"/>
          </w:tcPr>
          <w:p w14:paraId="78732D4F"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Refresh member offers or partner mix when monetisation does not translate into customer value and repeat use</w:t>
            </w:r>
          </w:p>
        </w:tc>
      </w:tr>
      <w:tr w:rsidR="00FC1C03" w:rsidRPr="00FC1C03" w14:paraId="1BCF5CC0" w14:textId="77777777">
        <w:trPr>
          <w:jc w:val="center"/>
        </w:trPr>
        <w:tc>
          <w:tcPr>
            <w:tcW w:w="1984" w:type="dxa"/>
            <w:shd w:val="clear" w:color="auto" w:fill="FFFFFF"/>
            <w:tcMar>
              <w:top w:w="45" w:type="dxa"/>
              <w:left w:w="55" w:type="dxa"/>
              <w:bottom w:w="45" w:type="dxa"/>
              <w:right w:w="55" w:type="dxa"/>
            </w:tcMar>
            <w:vAlign w:val="center"/>
          </w:tcPr>
          <w:p w14:paraId="4F5031DF"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People, risk and sustainability</w:t>
            </w:r>
          </w:p>
        </w:tc>
        <w:tc>
          <w:tcPr>
            <w:tcW w:w="2607" w:type="dxa"/>
            <w:shd w:val="clear" w:color="auto" w:fill="FFFFFF"/>
            <w:tcMar>
              <w:top w:w="45" w:type="dxa"/>
              <w:left w:w="55" w:type="dxa"/>
              <w:bottom w:w="45" w:type="dxa"/>
              <w:right w:w="55" w:type="dxa"/>
            </w:tcMar>
            <w:vAlign w:val="center"/>
          </w:tcPr>
          <w:p w14:paraId="52960EDA"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Team advocacy, TRIFR, stockloss, food-waste diversion, emissions indicators</w:t>
            </w:r>
          </w:p>
        </w:tc>
        <w:tc>
          <w:tcPr>
            <w:tcW w:w="1700" w:type="dxa"/>
            <w:shd w:val="clear" w:color="auto" w:fill="FFFFFF"/>
            <w:tcMar>
              <w:top w:w="45" w:type="dxa"/>
              <w:left w:w="55" w:type="dxa"/>
              <w:bottom w:w="45" w:type="dxa"/>
              <w:right w:w="55" w:type="dxa"/>
            </w:tcMar>
            <w:vAlign w:val="center"/>
          </w:tcPr>
          <w:p w14:paraId="61C4AF0A"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Monthly and board quarterly</w:t>
            </w:r>
          </w:p>
        </w:tc>
        <w:tc>
          <w:tcPr>
            <w:tcW w:w="2324" w:type="dxa"/>
            <w:shd w:val="clear" w:color="auto" w:fill="FFFFFF"/>
            <w:tcMar>
              <w:top w:w="45" w:type="dxa"/>
              <w:left w:w="55" w:type="dxa"/>
              <w:bottom w:w="45" w:type="dxa"/>
              <w:right w:w="55" w:type="dxa"/>
            </w:tcMar>
            <w:vAlign w:val="center"/>
          </w:tcPr>
          <w:p w14:paraId="517BF769" w14:textId="77777777" w:rsidR="00104F01" w:rsidRPr="00FC1C03" w:rsidRDefault="00000000" w:rsidP="00FC1C03">
            <w:pPr>
              <w:spacing w:line="480" w:lineRule="auto"/>
              <w:jc w:val="both"/>
              <w:rPr>
                <w:rFonts w:ascii="Gill Sans MT" w:hAnsi="Gill Sans MT"/>
                <w:color w:val="auto"/>
                <w:sz w:val="24"/>
                <w:szCs w:val="24"/>
              </w:rPr>
            </w:pPr>
            <w:r w:rsidRPr="00FC1C03">
              <w:rPr>
                <w:rFonts w:ascii="Gill Sans MT" w:hAnsi="Gill Sans MT"/>
                <w:color w:val="auto"/>
                <w:sz w:val="24"/>
                <w:szCs w:val="24"/>
              </w:rPr>
              <w:t>Trigger targeted capability, safety or supplier interventions when leading risk indicators deteriorate</w:t>
            </w:r>
          </w:p>
        </w:tc>
      </w:tr>
    </w:tbl>
    <w:p w14:paraId="2794DAA3" w14:textId="77777777" w:rsidR="00FC1C03" w:rsidRDefault="00FC1C03" w:rsidP="00FC1C03">
      <w:bookmarkStart w:id="14" w:name="_Toc226844793"/>
    </w:p>
    <w:p w14:paraId="33981F92" w14:textId="5A9F2D2C" w:rsidR="00104F01" w:rsidRPr="00FC1C03" w:rsidRDefault="00DF5CAC" w:rsidP="00FC1C03">
      <w:pPr>
        <w:pStyle w:val="Heading1"/>
        <w:spacing w:line="480" w:lineRule="auto"/>
      </w:pPr>
      <w:r w:rsidRPr="00FC1C03">
        <w:t>3. Conclusion</w:t>
      </w:r>
      <w:bookmarkEnd w:id="14"/>
    </w:p>
    <w:p w14:paraId="135C4975" w14:textId="033145DD" w:rsidR="001E39A5" w:rsidRDefault="0045673F" w:rsidP="00FC1C03">
      <w:pPr>
        <w:spacing w:line="480" w:lineRule="auto"/>
        <w:rPr>
          <w:rFonts w:ascii="Gill Sans MT" w:hAnsi="Gill Sans MT"/>
          <w:color w:val="auto"/>
          <w:sz w:val="24"/>
          <w:szCs w:val="24"/>
        </w:rPr>
      </w:pPr>
      <w:r w:rsidRPr="00FC1C03">
        <w:rPr>
          <w:rFonts w:ascii="Gill Sans MT" w:hAnsi="Gill Sans MT"/>
          <w:sz w:val="24"/>
          <w:szCs w:val="24"/>
        </w:rPr>
        <w:t>Woolworths Group does not require a new identity per se, it requires a more disciplined and integrated application of the identity, assets and capabilities that it already has. This report has demonstrated that the</w:t>
      </w:r>
      <w:r w:rsidRPr="00FC1C03">
        <w:rPr>
          <w:rFonts w:ascii="Gill Sans MT" w:hAnsi="Gill Sans MT"/>
          <w:color w:val="auto"/>
          <w:sz w:val="24"/>
          <w:szCs w:val="24"/>
        </w:rPr>
        <w:t xml:space="preserve"> company has a solid foundation of reinvigorated advantage on the basis of its food-led platform, scale in the supply-chain, loyalty ecosystem and data capacity, provided it develops strategy on a foundation of fit, as opposed to individual initiatives. The business model, in turn, is connected in the proposed plan to a system of strategic priorities consistent and coherent: the focus on food-core, the value leadership that is disciplined, the growth of the omnichannel and selective expansion of the ecosystems. These priorities are subsequently transferred into functional strategies, an integrated business-level strategy that is </w:t>
      </w:r>
      <w:r w:rsidRPr="00FC1C03">
        <w:rPr>
          <w:rFonts w:ascii="Gill Sans MT" w:hAnsi="Gill Sans MT"/>
          <w:color w:val="auto"/>
          <w:sz w:val="24"/>
          <w:szCs w:val="24"/>
        </w:rPr>
        <w:lastRenderedPageBreak/>
        <w:t>value-based and a corporate strategy with its focus on adjacency, simplification and leverage of capabilities. The control logic designed to implement and control is as important as the strategy selected. With a more stringent governance approach, more accountable and robust learning loops, Woolworths can likely enhance its customer advocacy, protect and expand its market share, increase returns and create a more robust retail system. The suggested plan of strategy formulation in that regard, is not merely competing more effectively in the present day, but is rather a way of regaining trust and establishing a more powerful sustainability agenda in the medium term.</w:t>
      </w:r>
    </w:p>
    <w:p w14:paraId="3D87153C" w14:textId="77777777" w:rsidR="00FC1C03" w:rsidRPr="00FC1C03" w:rsidRDefault="00FC1C03" w:rsidP="00FC1C03">
      <w:pPr>
        <w:spacing w:line="480" w:lineRule="auto"/>
        <w:rPr>
          <w:rFonts w:ascii="Gill Sans MT" w:hAnsi="Gill Sans MT"/>
          <w:color w:val="auto"/>
          <w:sz w:val="24"/>
          <w:szCs w:val="24"/>
        </w:rPr>
      </w:pPr>
    </w:p>
    <w:p w14:paraId="0C54A51C" w14:textId="5334E36C" w:rsidR="00104F01" w:rsidRPr="00FC1C03" w:rsidRDefault="00DF5CAC" w:rsidP="00FC1C03">
      <w:pPr>
        <w:pStyle w:val="Heading1"/>
        <w:spacing w:line="480" w:lineRule="auto"/>
      </w:pPr>
      <w:bookmarkStart w:id="15" w:name="_Toc226844794"/>
      <w:r w:rsidRPr="00FC1C03">
        <w:t>4. Brief Justification of Chosen Format</w:t>
      </w:r>
      <w:bookmarkEnd w:id="15"/>
    </w:p>
    <w:p w14:paraId="33886FBD" w14:textId="1C2B075E" w:rsidR="001E39A5" w:rsidRPr="00FC1C03" w:rsidRDefault="00591E34" w:rsidP="00FC1C03">
      <w:pPr>
        <w:keepLines/>
        <w:spacing w:line="480" w:lineRule="auto"/>
        <w:jc w:val="both"/>
        <w:rPr>
          <w:rFonts w:ascii="Gill Sans MT" w:hAnsi="Gill Sans MT"/>
          <w:color w:val="auto"/>
          <w:sz w:val="24"/>
          <w:szCs w:val="24"/>
        </w:rPr>
      </w:pPr>
      <w:r w:rsidRPr="00FC1C03">
        <w:rPr>
          <w:rFonts w:ascii="Gill Sans MT" w:hAnsi="Gill Sans MT"/>
          <w:color w:val="auto"/>
          <w:sz w:val="24"/>
          <w:szCs w:val="24"/>
        </w:rPr>
        <w:t>The most suitable primary form of this assessment is a written report as this will enable the development of the strategic logic in a step-by-step manner: diagnosis, implication, choice, implementation and control. This is especially the case with Woolworths where the power of the recommendation lies in demonstrating how the conditions of the market, business-model realities and portfolio choices are related to each other and not on presenting individual recommendations. The most suitable complementary board deck would be a succinct PowerPoint deck to communicate with stakeholders outside the assessment. Slides would convert the report into visuals that are easy to understand by the executives, board members and non-</w:t>
      </w:r>
      <w:proofErr w:type="gramStart"/>
      <w:r w:rsidRPr="00FC1C03">
        <w:rPr>
          <w:rFonts w:ascii="Gill Sans MT" w:hAnsi="Gill Sans MT"/>
          <w:color w:val="auto"/>
          <w:sz w:val="24"/>
          <w:szCs w:val="24"/>
        </w:rPr>
        <w:t>specialists</w:t>
      </w:r>
      <w:proofErr w:type="gramEnd"/>
      <w:r w:rsidRPr="00FC1C03">
        <w:rPr>
          <w:rFonts w:ascii="Gill Sans MT" w:hAnsi="Gill Sans MT"/>
          <w:color w:val="auto"/>
          <w:sz w:val="24"/>
          <w:szCs w:val="24"/>
        </w:rPr>
        <w:t xml:space="preserve"> stakeholders as it would highlight priorities, investment decisions, milestones and KPI ownership. The integrated strategy map that is part of this report enhances understanding since the entire logic chain is condensed into only one visual model. That simplifies the interdependence of the SWOT insights, strategy decisions and anticipated results to comprehend and communicate.</w:t>
      </w:r>
    </w:p>
    <w:p w14:paraId="2B942058" w14:textId="77777777" w:rsidR="00926568" w:rsidRPr="00FC1C03" w:rsidRDefault="00926568" w:rsidP="00FC1C03">
      <w:pPr>
        <w:keepLines/>
        <w:spacing w:line="480" w:lineRule="auto"/>
        <w:rPr>
          <w:rFonts w:ascii="Gill Sans MT" w:hAnsi="Gill Sans MT"/>
          <w:color w:val="auto"/>
          <w:sz w:val="24"/>
          <w:szCs w:val="24"/>
        </w:rPr>
      </w:pPr>
    </w:p>
    <w:p w14:paraId="3A22E941" w14:textId="01B8C2F3" w:rsidR="00104F01" w:rsidRPr="00FC1C03" w:rsidRDefault="00DF5CAC" w:rsidP="00FC1C03">
      <w:pPr>
        <w:pStyle w:val="Heading1"/>
        <w:spacing w:line="480" w:lineRule="auto"/>
      </w:pPr>
      <w:bookmarkStart w:id="16" w:name="_Toc226844795"/>
      <w:r w:rsidRPr="00FC1C03">
        <w:lastRenderedPageBreak/>
        <w:t>5. References</w:t>
      </w:r>
      <w:bookmarkEnd w:id="16"/>
    </w:p>
    <w:p w14:paraId="25654AB5"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Australian Bureau of Statistics. (2026, March 25). </w:t>
      </w:r>
      <w:r w:rsidRPr="00FC1C03">
        <w:rPr>
          <w:rFonts w:ascii="Gill Sans MT" w:hAnsi="Gill Sans MT"/>
          <w:i/>
          <w:iCs/>
          <w:color w:val="auto"/>
          <w:sz w:val="24"/>
          <w:szCs w:val="24"/>
        </w:rPr>
        <w:t>Consumer Price Index, Australia, February 2026</w:t>
      </w:r>
      <w:r w:rsidRPr="00FC1C03">
        <w:rPr>
          <w:rFonts w:ascii="Gill Sans MT" w:hAnsi="Gill Sans MT"/>
          <w:color w:val="auto"/>
          <w:sz w:val="24"/>
          <w:szCs w:val="24"/>
        </w:rPr>
        <w:t xml:space="preserve">. </w:t>
      </w:r>
      <w:hyperlink r:id="rId15" w:tgtFrame="_new" w:history="1">
        <w:r w:rsidRPr="00FC1C03">
          <w:rPr>
            <w:rStyle w:val="Hyperlink"/>
            <w:rFonts w:ascii="Gill Sans MT" w:hAnsi="Gill Sans MT"/>
            <w:sz w:val="24"/>
            <w:szCs w:val="24"/>
          </w:rPr>
          <w:t>https://www.abs.gov.au/statistics/economy/price-indexes-and-inflation/consumer-price-index-australia/latest-release</w:t>
        </w:r>
      </w:hyperlink>
    </w:p>
    <w:p w14:paraId="39EFD048"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Australian Competition and Consumer Commission. (2025, March 21). </w:t>
      </w:r>
      <w:r w:rsidRPr="00FC1C03">
        <w:rPr>
          <w:rFonts w:ascii="Gill Sans MT" w:hAnsi="Gill Sans MT"/>
          <w:i/>
          <w:iCs/>
          <w:color w:val="auto"/>
          <w:sz w:val="24"/>
          <w:szCs w:val="24"/>
        </w:rPr>
        <w:t>Supermarkets inquiry final report – February 2025</w:t>
      </w:r>
      <w:r w:rsidRPr="00FC1C03">
        <w:rPr>
          <w:rFonts w:ascii="Gill Sans MT" w:hAnsi="Gill Sans MT"/>
          <w:color w:val="auto"/>
          <w:sz w:val="24"/>
          <w:szCs w:val="24"/>
        </w:rPr>
        <w:t xml:space="preserve">. </w:t>
      </w:r>
      <w:hyperlink r:id="rId16" w:tgtFrame="_new" w:history="1">
        <w:r w:rsidRPr="00FC1C03">
          <w:rPr>
            <w:rStyle w:val="Hyperlink"/>
            <w:rFonts w:ascii="Gill Sans MT" w:hAnsi="Gill Sans MT"/>
            <w:sz w:val="24"/>
            <w:szCs w:val="24"/>
          </w:rPr>
          <w:t>https://www.accc.gov.au/about-us/publications/serial-publications/supermarkets-inquiry-2024-25-reports/supermarkets-inquiry-final-report-february-2025</w:t>
        </w:r>
      </w:hyperlink>
    </w:p>
    <w:p w14:paraId="2B26B9BB"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Barney, J. (1991). Firm resources and sustained competitive advantage. </w:t>
      </w:r>
      <w:r w:rsidRPr="00FC1C03">
        <w:rPr>
          <w:rFonts w:ascii="Gill Sans MT" w:hAnsi="Gill Sans MT"/>
          <w:i/>
          <w:iCs/>
          <w:color w:val="auto"/>
          <w:sz w:val="24"/>
          <w:szCs w:val="24"/>
        </w:rPr>
        <w:t>Journal of Management, 17</w:t>
      </w:r>
      <w:r w:rsidRPr="00FC1C03">
        <w:rPr>
          <w:rFonts w:ascii="Gill Sans MT" w:hAnsi="Gill Sans MT"/>
          <w:color w:val="auto"/>
          <w:sz w:val="24"/>
          <w:szCs w:val="24"/>
        </w:rPr>
        <w:t xml:space="preserve">(1), 99–120. </w:t>
      </w:r>
      <w:hyperlink r:id="rId17" w:tgtFrame="_new" w:history="1">
        <w:r w:rsidRPr="00FC1C03">
          <w:rPr>
            <w:rStyle w:val="Hyperlink"/>
            <w:rFonts w:ascii="Gill Sans MT" w:hAnsi="Gill Sans MT"/>
            <w:sz w:val="24"/>
            <w:szCs w:val="24"/>
          </w:rPr>
          <w:t>https://doi.org/10.1177/014920639101700108</w:t>
        </w:r>
      </w:hyperlink>
    </w:p>
    <w:p w14:paraId="07AFF6F4"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Foss, N. J., &amp; </w:t>
      </w:r>
      <w:proofErr w:type="spellStart"/>
      <w:r w:rsidRPr="00FC1C03">
        <w:rPr>
          <w:rFonts w:ascii="Gill Sans MT" w:hAnsi="Gill Sans MT"/>
          <w:color w:val="auto"/>
          <w:sz w:val="24"/>
          <w:szCs w:val="24"/>
        </w:rPr>
        <w:t>Saebi</w:t>
      </w:r>
      <w:proofErr w:type="spellEnd"/>
      <w:r w:rsidRPr="00FC1C03">
        <w:rPr>
          <w:rFonts w:ascii="Gill Sans MT" w:hAnsi="Gill Sans MT"/>
          <w:color w:val="auto"/>
          <w:sz w:val="24"/>
          <w:szCs w:val="24"/>
        </w:rPr>
        <w:t xml:space="preserve">, T. (2017). Fifteen years of research on business model innovation. </w:t>
      </w:r>
      <w:r w:rsidRPr="00FC1C03">
        <w:rPr>
          <w:rFonts w:ascii="Gill Sans MT" w:hAnsi="Gill Sans MT"/>
          <w:i/>
          <w:iCs/>
          <w:color w:val="auto"/>
          <w:sz w:val="24"/>
          <w:szCs w:val="24"/>
        </w:rPr>
        <w:t>Journal of Management, 43</w:t>
      </w:r>
      <w:r w:rsidRPr="00FC1C03">
        <w:rPr>
          <w:rFonts w:ascii="Gill Sans MT" w:hAnsi="Gill Sans MT"/>
          <w:color w:val="auto"/>
          <w:sz w:val="24"/>
          <w:szCs w:val="24"/>
        </w:rPr>
        <w:t xml:space="preserve">(1), 200–227. </w:t>
      </w:r>
      <w:hyperlink r:id="rId18" w:tgtFrame="_new" w:history="1">
        <w:r w:rsidRPr="00FC1C03">
          <w:rPr>
            <w:rStyle w:val="Hyperlink"/>
            <w:rFonts w:ascii="Gill Sans MT" w:hAnsi="Gill Sans MT"/>
            <w:sz w:val="24"/>
            <w:szCs w:val="24"/>
          </w:rPr>
          <w:t>https://doi.org/10.1177/0149206316675927</w:t>
        </w:r>
      </w:hyperlink>
    </w:p>
    <w:p w14:paraId="04A1B514"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Grant, R. M. (2022). </w:t>
      </w:r>
      <w:r w:rsidRPr="00FC1C03">
        <w:rPr>
          <w:rFonts w:ascii="Gill Sans MT" w:hAnsi="Gill Sans MT"/>
          <w:i/>
          <w:iCs/>
          <w:color w:val="auto"/>
          <w:sz w:val="24"/>
          <w:szCs w:val="24"/>
        </w:rPr>
        <w:t>Contemporary strategy analysis</w:t>
      </w:r>
      <w:r w:rsidRPr="00FC1C03">
        <w:rPr>
          <w:rFonts w:ascii="Gill Sans MT" w:hAnsi="Gill Sans MT"/>
          <w:color w:val="auto"/>
          <w:sz w:val="24"/>
          <w:szCs w:val="24"/>
        </w:rPr>
        <w:t xml:space="preserve"> (11th ed.). Wiley.</w:t>
      </w:r>
    </w:p>
    <w:p w14:paraId="4AAC69DA" w14:textId="77777777" w:rsidR="00853EE8" w:rsidRPr="00FC1C03" w:rsidRDefault="00853EE8" w:rsidP="00FC1C03">
      <w:pPr>
        <w:spacing w:line="480" w:lineRule="auto"/>
        <w:rPr>
          <w:rFonts w:ascii="Gill Sans MT" w:hAnsi="Gill Sans MT"/>
          <w:color w:val="auto"/>
          <w:sz w:val="24"/>
          <w:szCs w:val="24"/>
        </w:rPr>
      </w:pPr>
      <w:proofErr w:type="spellStart"/>
      <w:r w:rsidRPr="00FC1C03">
        <w:rPr>
          <w:rFonts w:ascii="Gill Sans MT" w:hAnsi="Gill Sans MT"/>
          <w:color w:val="auto"/>
          <w:sz w:val="24"/>
          <w:szCs w:val="24"/>
        </w:rPr>
        <w:t>Hrebiniak</w:t>
      </w:r>
      <w:proofErr w:type="spellEnd"/>
      <w:r w:rsidRPr="00FC1C03">
        <w:rPr>
          <w:rFonts w:ascii="Gill Sans MT" w:hAnsi="Gill Sans MT"/>
          <w:color w:val="auto"/>
          <w:sz w:val="24"/>
          <w:szCs w:val="24"/>
        </w:rPr>
        <w:t xml:space="preserve">, L. G. (2006). Obstacles to effective strategy implementation. </w:t>
      </w:r>
      <w:r w:rsidRPr="00FC1C03">
        <w:rPr>
          <w:rFonts w:ascii="Gill Sans MT" w:hAnsi="Gill Sans MT"/>
          <w:i/>
          <w:iCs/>
          <w:color w:val="auto"/>
          <w:sz w:val="24"/>
          <w:szCs w:val="24"/>
        </w:rPr>
        <w:t>Organizational Dynamics, 35</w:t>
      </w:r>
      <w:r w:rsidRPr="00FC1C03">
        <w:rPr>
          <w:rFonts w:ascii="Gill Sans MT" w:hAnsi="Gill Sans MT"/>
          <w:color w:val="auto"/>
          <w:sz w:val="24"/>
          <w:szCs w:val="24"/>
        </w:rPr>
        <w:t xml:space="preserve">(1), 12–31. </w:t>
      </w:r>
      <w:hyperlink r:id="rId19" w:tgtFrame="_new" w:history="1">
        <w:r w:rsidRPr="00FC1C03">
          <w:rPr>
            <w:rStyle w:val="Hyperlink"/>
            <w:rFonts w:ascii="Gill Sans MT" w:hAnsi="Gill Sans MT"/>
            <w:sz w:val="24"/>
            <w:szCs w:val="24"/>
          </w:rPr>
          <w:t>https://doi.org/10.1016/j.orgdyn.2005.12.001</w:t>
        </w:r>
      </w:hyperlink>
    </w:p>
    <w:p w14:paraId="5365A2C4"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Kaplan, R. S., &amp; Norton, D. P. (2004). </w:t>
      </w:r>
      <w:r w:rsidRPr="00FC1C03">
        <w:rPr>
          <w:rFonts w:ascii="Gill Sans MT" w:hAnsi="Gill Sans MT"/>
          <w:i/>
          <w:iCs/>
          <w:color w:val="auto"/>
          <w:sz w:val="24"/>
          <w:szCs w:val="24"/>
        </w:rPr>
        <w:t>Strategy maps: Converting intangible assets into tangible outcomes</w:t>
      </w:r>
      <w:r w:rsidRPr="00FC1C03">
        <w:rPr>
          <w:rFonts w:ascii="Gill Sans MT" w:hAnsi="Gill Sans MT"/>
          <w:color w:val="auto"/>
          <w:sz w:val="24"/>
          <w:szCs w:val="24"/>
        </w:rPr>
        <w:t>. Harvard Business School Press.</w:t>
      </w:r>
    </w:p>
    <w:p w14:paraId="7D22197C"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Porter, M. E. (1985). </w:t>
      </w:r>
      <w:r w:rsidRPr="00FC1C03">
        <w:rPr>
          <w:rFonts w:ascii="Gill Sans MT" w:hAnsi="Gill Sans MT"/>
          <w:i/>
          <w:iCs/>
          <w:color w:val="auto"/>
          <w:sz w:val="24"/>
          <w:szCs w:val="24"/>
        </w:rPr>
        <w:t>Competitive advantage: Creating and sustaining superior performance</w:t>
      </w:r>
      <w:r w:rsidRPr="00FC1C03">
        <w:rPr>
          <w:rFonts w:ascii="Gill Sans MT" w:hAnsi="Gill Sans MT"/>
          <w:color w:val="auto"/>
          <w:sz w:val="24"/>
          <w:szCs w:val="24"/>
        </w:rPr>
        <w:t>. Free Press.</w:t>
      </w:r>
    </w:p>
    <w:p w14:paraId="2038938C"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Porter, M. E. (1996). What is strategy? </w:t>
      </w:r>
      <w:r w:rsidRPr="00FC1C03">
        <w:rPr>
          <w:rFonts w:ascii="Gill Sans MT" w:hAnsi="Gill Sans MT"/>
          <w:i/>
          <w:iCs/>
          <w:color w:val="auto"/>
          <w:sz w:val="24"/>
          <w:szCs w:val="24"/>
        </w:rPr>
        <w:t>Harvard Business Review, 74</w:t>
      </w:r>
      <w:r w:rsidRPr="00FC1C03">
        <w:rPr>
          <w:rFonts w:ascii="Gill Sans MT" w:hAnsi="Gill Sans MT"/>
          <w:color w:val="auto"/>
          <w:sz w:val="24"/>
          <w:szCs w:val="24"/>
        </w:rPr>
        <w:t>(6), 61–78.</w:t>
      </w:r>
    </w:p>
    <w:p w14:paraId="3581321C"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Teece, D. J. (2018). Business models and dynamic capabilities. </w:t>
      </w:r>
      <w:r w:rsidRPr="00FC1C03">
        <w:rPr>
          <w:rFonts w:ascii="Gill Sans MT" w:hAnsi="Gill Sans MT"/>
          <w:i/>
          <w:iCs/>
          <w:color w:val="auto"/>
          <w:sz w:val="24"/>
          <w:szCs w:val="24"/>
        </w:rPr>
        <w:t>Long Range Planning, 51</w:t>
      </w:r>
      <w:r w:rsidRPr="00FC1C03">
        <w:rPr>
          <w:rFonts w:ascii="Gill Sans MT" w:hAnsi="Gill Sans MT"/>
          <w:color w:val="auto"/>
          <w:sz w:val="24"/>
          <w:szCs w:val="24"/>
        </w:rPr>
        <w:t xml:space="preserve">(1), 40–49. </w:t>
      </w:r>
      <w:hyperlink r:id="rId20" w:tgtFrame="_new" w:history="1">
        <w:r w:rsidRPr="00FC1C03">
          <w:rPr>
            <w:rStyle w:val="Hyperlink"/>
            <w:rFonts w:ascii="Gill Sans MT" w:hAnsi="Gill Sans MT"/>
            <w:sz w:val="24"/>
            <w:szCs w:val="24"/>
          </w:rPr>
          <w:t>https://doi.org/10.1016/j.lrp.2017.06.007</w:t>
        </w:r>
      </w:hyperlink>
    </w:p>
    <w:p w14:paraId="27B7A16A"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lastRenderedPageBreak/>
        <w:t xml:space="preserve">Woolworths Group. (2025a). </w:t>
      </w:r>
      <w:r w:rsidRPr="00FC1C03">
        <w:rPr>
          <w:rFonts w:ascii="Gill Sans MT" w:hAnsi="Gill Sans MT"/>
          <w:i/>
          <w:iCs/>
          <w:color w:val="auto"/>
          <w:sz w:val="24"/>
          <w:szCs w:val="24"/>
        </w:rPr>
        <w:t>Annual report 2025</w:t>
      </w:r>
      <w:r w:rsidRPr="00FC1C03">
        <w:rPr>
          <w:rFonts w:ascii="Gill Sans MT" w:hAnsi="Gill Sans MT"/>
          <w:color w:val="auto"/>
          <w:sz w:val="24"/>
          <w:szCs w:val="24"/>
        </w:rPr>
        <w:t xml:space="preserve">. </w:t>
      </w:r>
      <w:hyperlink r:id="rId21" w:tgtFrame="_new" w:history="1">
        <w:r w:rsidRPr="00FC1C03">
          <w:rPr>
            <w:rStyle w:val="Hyperlink"/>
            <w:rFonts w:ascii="Gill Sans MT" w:hAnsi="Gill Sans MT"/>
            <w:sz w:val="24"/>
            <w:szCs w:val="24"/>
          </w:rPr>
          <w:t>https://www.woolworthsgroup.com.au/content/dam/wwg/sustainability/reports/f25/Woolworths%20Group%20Annual%20Report%202025%20.pdf</w:t>
        </w:r>
      </w:hyperlink>
    </w:p>
    <w:p w14:paraId="4AB82424"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Woolworths Group. (2025b). </w:t>
      </w:r>
      <w:r w:rsidRPr="00FC1C03">
        <w:rPr>
          <w:rFonts w:ascii="Gill Sans MT" w:hAnsi="Gill Sans MT"/>
          <w:i/>
          <w:iCs/>
          <w:color w:val="auto"/>
          <w:sz w:val="24"/>
          <w:szCs w:val="24"/>
        </w:rPr>
        <w:t>Annual general meeting 2025 addresses and presentation</w:t>
      </w:r>
      <w:r w:rsidRPr="00FC1C03">
        <w:rPr>
          <w:rFonts w:ascii="Gill Sans MT" w:hAnsi="Gill Sans MT"/>
          <w:color w:val="auto"/>
          <w:sz w:val="24"/>
          <w:szCs w:val="24"/>
        </w:rPr>
        <w:t xml:space="preserve">. </w:t>
      </w:r>
      <w:hyperlink r:id="rId22" w:tgtFrame="_new" w:history="1">
        <w:r w:rsidRPr="00FC1C03">
          <w:rPr>
            <w:rStyle w:val="Hyperlink"/>
            <w:rFonts w:ascii="Gill Sans MT" w:hAnsi="Gill Sans MT"/>
            <w:sz w:val="24"/>
            <w:szCs w:val="24"/>
          </w:rPr>
          <w:t>https://www.woolworthsgroup.com.au/content/dam/wwg/investors/agm/2025/2974752.pdf</w:t>
        </w:r>
      </w:hyperlink>
    </w:p>
    <w:p w14:paraId="154F619B" w14:textId="77777777" w:rsidR="00853EE8"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Woolworths Group. (2026a). </w:t>
      </w:r>
      <w:r w:rsidRPr="00FC1C03">
        <w:rPr>
          <w:rFonts w:ascii="Gill Sans MT" w:hAnsi="Gill Sans MT"/>
          <w:i/>
          <w:iCs/>
          <w:color w:val="auto"/>
          <w:sz w:val="24"/>
          <w:szCs w:val="24"/>
        </w:rPr>
        <w:t>Half-year results announcement</w:t>
      </w:r>
      <w:r w:rsidRPr="00FC1C03">
        <w:rPr>
          <w:rFonts w:ascii="Gill Sans MT" w:hAnsi="Gill Sans MT"/>
          <w:color w:val="auto"/>
          <w:sz w:val="24"/>
          <w:szCs w:val="24"/>
        </w:rPr>
        <w:t xml:space="preserve">. </w:t>
      </w:r>
      <w:hyperlink r:id="rId23" w:tgtFrame="_new" w:history="1">
        <w:r w:rsidRPr="00FC1C03">
          <w:rPr>
            <w:rStyle w:val="Hyperlink"/>
            <w:rFonts w:ascii="Gill Sans MT" w:hAnsi="Gill Sans MT"/>
            <w:sz w:val="24"/>
            <w:szCs w:val="24"/>
          </w:rPr>
          <w:t>https://www.woolworthsgroup.com.au/content/dam/wwg/investors/reports/f26/h26/3029540.pdf</w:t>
        </w:r>
      </w:hyperlink>
    </w:p>
    <w:p w14:paraId="3D555859" w14:textId="0F75CC4C" w:rsidR="00F91FAE" w:rsidRPr="00FC1C03" w:rsidRDefault="00853EE8" w:rsidP="00FC1C03">
      <w:pPr>
        <w:spacing w:line="480" w:lineRule="auto"/>
        <w:rPr>
          <w:rFonts w:ascii="Gill Sans MT" w:hAnsi="Gill Sans MT"/>
          <w:color w:val="auto"/>
          <w:sz w:val="24"/>
          <w:szCs w:val="24"/>
        </w:rPr>
      </w:pPr>
      <w:r w:rsidRPr="00FC1C03">
        <w:rPr>
          <w:rFonts w:ascii="Gill Sans MT" w:hAnsi="Gill Sans MT"/>
          <w:color w:val="auto"/>
          <w:sz w:val="24"/>
          <w:szCs w:val="24"/>
        </w:rPr>
        <w:t xml:space="preserve">Woolworths Group. (n.d.-a). </w:t>
      </w:r>
      <w:r w:rsidRPr="00FC1C03">
        <w:rPr>
          <w:rFonts w:ascii="Gill Sans MT" w:hAnsi="Gill Sans MT"/>
          <w:i/>
          <w:iCs/>
          <w:color w:val="auto"/>
          <w:sz w:val="24"/>
          <w:szCs w:val="24"/>
        </w:rPr>
        <w:t>Who we are</w:t>
      </w:r>
      <w:r w:rsidRPr="00FC1C03">
        <w:rPr>
          <w:rFonts w:ascii="Gill Sans MT" w:hAnsi="Gill Sans MT"/>
          <w:color w:val="auto"/>
          <w:sz w:val="24"/>
          <w:szCs w:val="24"/>
        </w:rPr>
        <w:t xml:space="preserve">. </w:t>
      </w:r>
      <w:hyperlink r:id="rId24" w:tgtFrame="_new" w:history="1">
        <w:r w:rsidRPr="00FC1C03">
          <w:rPr>
            <w:rStyle w:val="Hyperlink"/>
            <w:rFonts w:ascii="Gill Sans MT" w:hAnsi="Gill Sans MT"/>
            <w:sz w:val="24"/>
            <w:szCs w:val="24"/>
          </w:rPr>
          <w:t>https://www.woolworthsgroup.com.au/au/en/who-we-are.html</w:t>
        </w:r>
      </w:hyperlink>
    </w:p>
    <w:sectPr w:rsidR="00F91FAE" w:rsidRPr="00FC1C03" w:rsidSect="00853EE8">
      <w:headerReference w:type="even" r:id="rId25"/>
      <w:headerReference w:type="default" r:id="rId26"/>
      <w:footerReference w:type="even" r:id="rId27"/>
      <w:footerReference w:type="default" r:id="rId28"/>
      <w:headerReference w:type="first" r:id="rId29"/>
      <w:footerReference w:type="first" r:id="rId30"/>
      <w:pgSz w:w="11906" w:h="16838" w:code="9"/>
      <w:pgMar w:top="1152" w:right="1368" w:bottom="1080" w:left="13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EB6D" w14:textId="77777777" w:rsidR="00502F43" w:rsidRDefault="00502F43">
      <w:pPr>
        <w:spacing w:after="0" w:line="240" w:lineRule="auto"/>
      </w:pPr>
      <w:r>
        <w:separator/>
      </w:r>
    </w:p>
  </w:endnote>
  <w:endnote w:type="continuationSeparator" w:id="0">
    <w:p w14:paraId="06C7F633" w14:textId="77777777" w:rsidR="00502F43" w:rsidRDefault="0050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ill Sans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9BE2" w14:textId="77777777" w:rsidR="002E4369" w:rsidRDefault="002E43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C161" w14:textId="7511D79C" w:rsidR="00104F01" w:rsidRDefault="00104F0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6B15" w14:textId="77777777" w:rsidR="002E4369" w:rsidRDefault="002E4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E7F58" w14:textId="77777777" w:rsidR="00502F43" w:rsidRDefault="00502F43">
      <w:pPr>
        <w:spacing w:after="0" w:line="240" w:lineRule="auto"/>
      </w:pPr>
      <w:r>
        <w:separator/>
      </w:r>
    </w:p>
  </w:footnote>
  <w:footnote w:type="continuationSeparator" w:id="0">
    <w:p w14:paraId="397BEDD4" w14:textId="77777777" w:rsidR="00502F43" w:rsidRDefault="00502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942F" w14:textId="77777777" w:rsidR="002E4369" w:rsidRDefault="002E43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65AF" w14:textId="77777777" w:rsidR="002E4369" w:rsidRPr="002E4369" w:rsidRDefault="002E4369" w:rsidP="002E4369">
    <w:pPr>
      <w:pStyle w:val="Header"/>
    </w:pPr>
    <w:r w:rsidRPr="002E4369">
      <w:rPr>
        <w:b/>
        <w:bCs/>
      </w:rPr>
      <w:t>Student Number and Names</w:t>
    </w:r>
    <w:r w:rsidRPr="002E4369">
      <w:t xml:space="preserve">: CIM11727 – Ranjana Bhandari | CIM9461 – Anchal Datta | CIM13160 – Nalina Sharma | CIM10787 – </w:t>
    </w:r>
    <w:proofErr w:type="spellStart"/>
    <w:r w:rsidRPr="002E4369">
      <w:t>Laksika</w:t>
    </w:r>
    <w:proofErr w:type="spellEnd"/>
    <w:r w:rsidRPr="002E4369">
      <w:t xml:space="preserve"> Jankhunthod |</w:t>
    </w:r>
  </w:p>
  <w:p w14:paraId="3483BFC6" w14:textId="403C5478" w:rsidR="00104F01" w:rsidRDefault="00FC1C03" w:rsidP="00FC1C03">
    <w:pPr>
      <w:pStyle w:val="Header"/>
    </w:pPr>
    <w:r w:rsidRPr="00FC1C03">
      <w:rPr>
        <w:b/>
        <w:bCs/>
      </w:rPr>
      <w:t>Word count:</w:t>
    </w:r>
    <w:r>
      <w:t xml:space="preserve"> 2973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AD34" w14:textId="77777777" w:rsidR="002E4369" w:rsidRDefault="002E4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C2380A"/>
    <w:multiLevelType w:val="hybridMultilevel"/>
    <w:tmpl w:val="3DC66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15BC7"/>
    <w:multiLevelType w:val="hybridMultilevel"/>
    <w:tmpl w:val="AC104BA0"/>
    <w:lvl w:ilvl="0" w:tplc="0409000D">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6D6DE6"/>
    <w:multiLevelType w:val="hybridMultilevel"/>
    <w:tmpl w:val="A000A91C"/>
    <w:lvl w:ilvl="0" w:tplc="B380A40A">
      <w:start w:val="1"/>
      <w:numFmt w:val="decimal"/>
      <w:lvlText w:val="%1."/>
      <w:lvlJc w:val="left"/>
      <w:pPr>
        <w:ind w:left="360" w:hanging="360"/>
      </w:pPr>
      <w:rPr>
        <w:rFonts w:eastAsiaTheme="minorEastAsia"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04257107">
    <w:abstractNumId w:val="8"/>
  </w:num>
  <w:num w:numId="2" w16cid:durableId="92481959">
    <w:abstractNumId w:val="6"/>
  </w:num>
  <w:num w:numId="3" w16cid:durableId="452600693">
    <w:abstractNumId w:val="5"/>
  </w:num>
  <w:num w:numId="4" w16cid:durableId="224611150">
    <w:abstractNumId w:val="4"/>
  </w:num>
  <w:num w:numId="5" w16cid:durableId="89468601">
    <w:abstractNumId w:val="7"/>
  </w:num>
  <w:num w:numId="6" w16cid:durableId="1855341487">
    <w:abstractNumId w:val="3"/>
  </w:num>
  <w:num w:numId="7" w16cid:durableId="1996569302">
    <w:abstractNumId w:val="2"/>
  </w:num>
  <w:num w:numId="8" w16cid:durableId="1354769745">
    <w:abstractNumId w:val="1"/>
  </w:num>
  <w:num w:numId="9" w16cid:durableId="363167731">
    <w:abstractNumId w:val="0"/>
  </w:num>
  <w:num w:numId="10" w16cid:durableId="479998298">
    <w:abstractNumId w:val="9"/>
  </w:num>
  <w:num w:numId="11" w16cid:durableId="127745554">
    <w:abstractNumId w:val="11"/>
  </w:num>
  <w:num w:numId="12" w16cid:durableId="1027367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B70"/>
    <w:rsid w:val="000259D3"/>
    <w:rsid w:val="000311B0"/>
    <w:rsid w:val="00034616"/>
    <w:rsid w:val="0006063C"/>
    <w:rsid w:val="00091731"/>
    <w:rsid w:val="000A6717"/>
    <w:rsid w:val="00104F01"/>
    <w:rsid w:val="0015074B"/>
    <w:rsid w:val="00165994"/>
    <w:rsid w:val="001D5393"/>
    <w:rsid w:val="001E39A5"/>
    <w:rsid w:val="0029639D"/>
    <w:rsid w:val="002C6B67"/>
    <w:rsid w:val="002E4369"/>
    <w:rsid w:val="00326F90"/>
    <w:rsid w:val="00370B2A"/>
    <w:rsid w:val="003F18F9"/>
    <w:rsid w:val="0045673F"/>
    <w:rsid w:val="00502F43"/>
    <w:rsid w:val="00591E34"/>
    <w:rsid w:val="005B66DE"/>
    <w:rsid w:val="005E7DAE"/>
    <w:rsid w:val="005F46A6"/>
    <w:rsid w:val="00642DA4"/>
    <w:rsid w:val="00701A67"/>
    <w:rsid w:val="0076750D"/>
    <w:rsid w:val="00826BFA"/>
    <w:rsid w:val="00853EE8"/>
    <w:rsid w:val="00857B2C"/>
    <w:rsid w:val="00926568"/>
    <w:rsid w:val="009F09E7"/>
    <w:rsid w:val="00A12170"/>
    <w:rsid w:val="00AA1D8D"/>
    <w:rsid w:val="00B47730"/>
    <w:rsid w:val="00BC4747"/>
    <w:rsid w:val="00C00DA6"/>
    <w:rsid w:val="00C947A3"/>
    <w:rsid w:val="00CA0413"/>
    <w:rsid w:val="00CB0664"/>
    <w:rsid w:val="00CB1C2A"/>
    <w:rsid w:val="00CC59BE"/>
    <w:rsid w:val="00CF604A"/>
    <w:rsid w:val="00D075AC"/>
    <w:rsid w:val="00DF5CAC"/>
    <w:rsid w:val="00E52176"/>
    <w:rsid w:val="00E715EE"/>
    <w:rsid w:val="00EC57C1"/>
    <w:rsid w:val="00F91FAE"/>
    <w:rsid w:val="00FB07E4"/>
    <w:rsid w:val="00FC1C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752028"/>
  <w14:defaultImageDpi w14:val="300"/>
  <w15:docId w15:val="{B7031B48-1157-4566-A11D-7D142BBD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222222"/>
      <w:sz w:val="21"/>
    </w:rPr>
  </w:style>
  <w:style w:type="paragraph" w:styleId="Heading1">
    <w:name w:val="heading 1"/>
    <w:basedOn w:val="Normal"/>
    <w:next w:val="Normal"/>
    <w:link w:val="Heading1Char"/>
    <w:uiPriority w:val="9"/>
    <w:qFormat/>
    <w:rsid w:val="00FC1C03"/>
    <w:pPr>
      <w:keepNext/>
      <w:keepLines/>
      <w:spacing w:before="240"/>
      <w:outlineLvl w:val="0"/>
    </w:pPr>
    <w:rPr>
      <w:rFonts w:ascii="Gill Sans MT" w:eastAsiaTheme="majorEastAsia" w:hAnsi="Gill Sans MT" w:cstheme="majorBidi"/>
      <w:b/>
      <w:bCs/>
      <w:color w:val="auto"/>
      <w:sz w:val="24"/>
      <w:szCs w:val="24"/>
    </w:rPr>
  </w:style>
  <w:style w:type="paragraph" w:styleId="Heading2">
    <w:name w:val="heading 2"/>
    <w:basedOn w:val="Normal"/>
    <w:next w:val="Normal"/>
    <w:link w:val="Heading2Char"/>
    <w:uiPriority w:val="9"/>
    <w:unhideWhenUsed/>
    <w:qFormat/>
    <w:rsid w:val="00FC1C03"/>
    <w:pPr>
      <w:keepNext/>
      <w:keepLines/>
      <w:spacing w:before="160" w:after="80"/>
      <w:outlineLvl w:val="1"/>
    </w:pPr>
    <w:rPr>
      <w:rFonts w:ascii="Gill Sans MT" w:eastAsiaTheme="majorEastAsia" w:hAnsi="Gill Sans MT" w:cstheme="majorBidi"/>
      <w:b/>
      <w:bCs/>
      <w:color w:val="auto"/>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7D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1C03"/>
    <w:rPr>
      <w:rFonts w:ascii="Gill Sans MT" w:eastAsiaTheme="majorEastAsia" w:hAnsi="Gill Sans MT" w:cstheme="majorBidi"/>
      <w:b/>
      <w:bCs/>
      <w:sz w:val="24"/>
      <w:szCs w:val="24"/>
    </w:rPr>
  </w:style>
  <w:style w:type="character" w:customStyle="1" w:styleId="Heading2Char">
    <w:name w:val="Heading 2 Char"/>
    <w:basedOn w:val="DefaultParagraphFont"/>
    <w:link w:val="Heading2"/>
    <w:uiPriority w:val="9"/>
    <w:rsid w:val="00FC1C03"/>
    <w:rPr>
      <w:rFonts w:ascii="Gill Sans MT" w:eastAsiaTheme="majorEastAsia" w:hAnsi="Gill Sans MT" w:cstheme="majorBidi"/>
      <w:b/>
      <w:bCs/>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DF5CAC"/>
    <w:pPr>
      <w:spacing w:after="100"/>
    </w:pPr>
  </w:style>
  <w:style w:type="paragraph" w:styleId="TOC2">
    <w:name w:val="toc 2"/>
    <w:basedOn w:val="Normal"/>
    <w:next w:val="Normal"/>
    <w:autoRedefine/>
    <w:uiPriority w:val="39"/>
    <w:unhideWhenUsed/>
    <w:rsid w:val="00DF5CAC"/>
    <w:pPr>
      <w:spacing w:after="100"/>
      <w:ind w:left="210"/>
    </w:pPr>
  </w:style>
  <w:style w:type="character" w:styleId="Hyperlink">
    <w:name w:val="Hyperlink"/>
    <w:basedOn w:val="DefaultParagraphFont"/>
    <w:uiPriority w:val="99"/>
    <w:unhideWhenUsed/>
    <w:rsid w:val="00DF5CAC"/>
    <w:rPr>
      <w:color w:val="0000FF" w:themeColor="hyperlink"/>
      <w:u w:val="single"/>
    </w:rPr>
  </w:style>
  <w:style w:type="character" w:styleId="UnresolvedMention">
    <w:name w:val="Unresolved Mention"/>
    <w:basedOn w:val="DefaultParagraphFont"/>
    <w:uiPriority w:val="99"/>
    <w:semiHidden/>
    <w:unhideWhenUsed/>
    <w:rsid w:val="00853EE8"/>
    <w:rPr>
      <w:color w:val="605E5C"/>
      <w:shd w:val="clear" w:color="auto" w:fill="E1DFDD"/>
    </w:rPr>
  </w:style>
  <w:style w:type="table" w:customStyle="1" w:styleId="TableGrid1">
    <w:name w:val="Table Grid1"/>
    <w:basedOn w:val="TableNormal"/>
    <w:next w:val="TableGrid"/>
    <w:uiPriority w:val="39"/>
    <w:qFormat/>
    <w:rsid w:val="00E52176"/>
    <w:pPr>
      <w:spacing w:after="0" w:line="240" w:lineRule="auto"/>
    </w:pPr>
    <w:rPr>
      <w:rFonts w:ascii="Times New Roman" w:eastAsia="SimSu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FC1C0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s://doi.org/10.1177/014920631667592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woolworthsgroup.com.au/content/dam/wwg/sustainability/reports/f25/Woolworths%20Group%20Annual%20Report%202025%20.pdf" TargetMode="External"/><Relationship Id="rId7" Type="http://schemas.openxmlformats.org/officeDocument/2006/relationships/endnotes" Target="endnotes.xml"/><Relationship Id="rId12" Type="http://schemas.openxmlformats.org/officeDocument/2006/relationships/hyperlink" Target="mailto:Cim10787@ciom.edu.au" TargetMode="External"/><Relationship Id="rId17" Type="http://schemas.openxmlformats.org/officeDocument/2006/relationships/hyperlink" Target="https://doi.org/10.1177/01492063910170010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ccc.gov.au/about-us/publications/serial-publications/supermarkets-inquiry-2024-25-reports/supermarkets-inquiry-final-report-february-2025" TargetMode="External"/><Relationship Id="rId20" Type="http://schemas.openxmlformats.org/officeDocument/2006/relationships/hyperlink" Target="https://doi.org/10.1016/j.lrp.2017.06.007"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M13160@ciom.edu.au" TargetMode="External"/><Relationship Id="rId24" Type="http://schemas.openxmlformats.org/officeDocument/2006/relationships/hyperlink" Target="https://www.woolworthsgroup.com.au/au/en/who-we-are.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bs.gov.au/statistics/economy/price-indexes-and-inflation/consumer-price-index-australia/latest-release" TargetMode="External"/><Relationship Id="rId23" Type="http://schemas.openxmlformats.org/officeDocument/2006/relationships/hyperlink" Target="https://www.woolworthsgroup.com.au/content/dam/wwg/investors/reports/f26/h26/3029540.pdf" TargetMode="External"/><Relationship Id="rId28" Type="http://schemas.openxmlformats.org/officeDocument/2006/relationships/footer" Target="footer2.xml"/><Relationship Id="rId10" Type="http://schemas.openxmlformats.org/officeDocument/2006/relationships/hyperlink" Target="mailto:cim9461@ciom.edu.au" TargetMode="External"/><Relationship Id="rId19" Type="http://schemas.openxmlformats.org/officeDocument/2006/relationships/hyperlink" Target="https://doi.org/10.1016/j.orgdyn.2005.12.00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njanabhandari26@gmail.com" TargetMode="External"/><Relationship Id="rId14" Type="http://schemas.openxmlformats.org/officeDocument/2006/relationships/image" Target="media/image3.png"/><Relationship Id="rId22" Type="http://schemas.openxmlformats.org/officeDocument/2006/relationships/hyperlink" Target="https://www.woolworthsgroup.com.au/content/dam/wwg/investors/agm/2025/2974752.pdf"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20</Pages>
  <Words>4400</Words>
  <Characters>25084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46</cp:revision>
  <dcterms:created xsi:type="dcterms:W3CDTF">2013-12-23T23:15:00Z</dcterms:created>
  <dcterms:modified xsi:type="dcterms:W3CDTF">2026-04-12T03:39:00Z</dcterms:modified>
  <cp:category/>
</cp:coreProperties>
</file>